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left"/>
        <w:rPr>
          <w:rFonts w:ascii="微软雅黑" w:hAnsi="微软雅黑" w:eastAsia="微软雅黑" w:cs="微软雅黑"/>
          <w:b/>
          <w:sz w:val="15"/>
          <w:szCs w:val="15"/>
        </w:rPr>
      </w:pPr>
      <w:r>
        <w:rPr>
          <w:rFonts w:ascii="微软雅黑" w:hAnsi="微软雅黑" w:eastAsia="微软雅黑" w:cs="微软雅黑"/>
          <w:b/>
          <w:sz w:val="15"/>
          <w:szCs w:val="15"/>
        </w:rPr>
        <w:drawing>
          <wp:inline distT="0" distB="0" distL="114300" distR="114300">
            <wp:extent cx="2857500" cy="753110"/>
            <wp:effectExtent l="0" t="0" r="0" b="8890"/>
            <wp:docPr id="3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IMG_256"/>
                    <pic:cNvPicPr>
                      <a:picLocks noChangeAspect="1"/>
                    </pic:cNvPicPr>
                  </pic:nvPicPr>
                  <pic:blipFill>
                    <a:blip r:embed="rId9" cstate="print"/>
                    <a:stretch>
                      <a:fillRect/>
                    </a:stretch>
                  </pic:blipFill>
                  <pic:spPr>
                    <a:xfrm>
                      <a:off x="0" y="0"/>
                      <a:ext cx="2857500" cy="753110"/>
                    </a:xfrm>
                    <a:prstGeom prst="rect">
                      <a:avLst/>
                    </a:prstGeom>
                    <a:noFill/>
                    <a:ln w="9525">
                      <a:noFill/>
                    </a:ln>
                  </pic:spPr>
                </pic:pic>
              </a:graphicData>
            </a:graphic>
          </wp:inline>
        </w:drawing>
      </w:r>
    </w:p>
    <w:p>
      <w:pPr>
        <w:ind w:left="1050" w:leftChars="500"/>
        <w:rPr>
          <w:rFonts w:ascii="微软雅黑" w:hAnsi="微软雅黑" w:eastAsia="微软雅黑" w:cs="微软雅黑"/>
          <w:b/>
          <w:sz w:val="15"/>
          <w:szCs w:val="15"/>
        </w:rPr>
      </w:pPr>
    </w:p>
    <w:p>
      <w:pPr>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tabs>
          <w:tab w:val="left" w:pos="1680"/>
        </w:tabs>
        <w:spacing w:line="160" w:lineRule="exact"/>
        <w:rPr>
          <w:rFonts w:ascii="微软雅黑" w:hAnsi="微软雅黑" w:eastAsia="微软雅黑" w:cs="微软雅黑"/>
          <w:b/>
          <w:sz w:val="15"/>
          <w:szCs w:val="15"/>
        </w:rPr>
      </w:pPr>
      <w:r>
        <w:rPr>
          <w:rFonts w:hint="eastAsia" w:ascii="微软雅黑" w:hAnsi="微软雅黑" w:eastAsia="微软雅黑" w:cs="微软雅黑"/>
          <w:b/>
          <w:sz w:val="15"/>
          <w:szCs w:val="15"/>
        </w:rPr>
        <w:tab/>
      </w: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576" w:lineRule="auto"/>
        <w:jc w:val="center"/>
        <w:rPr>
          <w:rFonts w:ascii="微软雅黑" w:hAnsi="微软雅黑" w:eastAsia="微软雅黑" w:cs="微软雅黑"/>
          <w:b/>
          <w:sz w:val="48"/>
          <w:szCs w:val="48"/>
        </w:rPr>
      </w:pPr>
      <w:r>
        <w:rPr>
          <w:rFonts w:hint="eastAsia" w:ascii="微软雅黑" w:hAnsi="微软雅黑" w:eastAsia="微软雅黑" w:cs="微软雅黑"/>
          <w:b/>
          <w:sz w:val="48"/>
          <w:szCs w:val="48"/>
        </w:rPr>
        <w:t>中信重工伊滨智能工厂特种机器人总装车间</w:t>
      </w:r>
    </w:p>
    <w:p>
      <w:pPr>
        <w:spacing w:line="576" w:lineRule="auto"/>
        <w:jc w:val="center"/>
        <w:rPr>
          <w:rFonts w:ascii="微软雅黑" w:hAnsi="微软雅黑" w:eastAsia="微软雅黑" w:cs="微软雅黑"/>
          <w:b/>
          <w:sz w:val="48"/>
          <w:szCs w:val="48"/>
        </w:rPr>
      </w:pPr>
      <w:r>
        <w:rPr>
          <w:rFonts w:hint="eastAsia" w:ascii="微软雅黑" w:hAnsi="微软雅黑" w:eastAsia="微软雅黑" w:cs="微软雅黑"/>
          <w:b/>
          <w:sz w:val="48"/>
          <w:szCs w:val="48"/>
        </w:rPr>
        <w:t>MES系统</w:t>
      </w:r>
    </w:p>
    <w:p>
      <w:pPr>
        <w:spacing w:line="576" w:lineRule="auto"/>
        <w:jc w:val="center"/>
        <w:rPr>
          <w:rFonts w:ascii="微软雅黑" w:hAnsi="微软雅黑" w:eastAsia="微软雅黑" w:cs="微软雅黑"/>
          <w:b/>
          <w:sz w:val="72"/>
          <w:szCs w:val="72"/>
        </w:rPr>
      </w:pPr>
      <w:bookmarkStart w:id="0" w:name="_Toc508052988"/>
      <w:bookmarkStart w:id="1" w:name="_Toc507694283"/>
      <w:bookmarkStart w:id="2" w:name="_Toc507613769"/>
      <w:bookmarkStart w:id="3" w:name="_Toc507694513"/>
      <w:bookmarkStart w:id="4" w:name="_Toc507877026"/>
      <w:bookmarkStart w:id="5" w:name="_Toc507595088"/>
      <w:bookmarkStart w:id="6" w:name="_Toc507595280"/>
      <w:r>
        <w:rPr>
          <w:rFonts w:ascii="微软雅黑" w:hAnsi="微软雅黑" w:eastAsia="微软雅黑" w:cs="微软雅黑"/>
          <w:b/>
          <w:sz w:val="48"/>
          <w:szCs w:val="48"/>
        </w:rPr>
        <mc:AlternateContent>
          <mc:Choice Requires="wpg">
            <w:drawing>
              <wp:anchor distT="0" distB="0" distL="114300" distR="114300" simplePos="0" relativeHeight="251670528" behindDoc="0" locked="0" layoutInCell="1" allowOverlap="1">
                <wp:simplePos x="0" y="0"/>
                <wp:positionH relativeFrom="column">
                  <wp:posOffset>146050</wp:posOffset>
                </wp:positionH>
                <wp:positionV relativeFrom="paragraph">
                  <wp:posOffset>36195</wp:posOffset>
                </wp:positionV>
                <wp:extent cx="6076950" cy="57150"/>
                <wp:effectExtent l="0" t="0" r="0" b="0"/>
                <wp:wrapNone/>
                <wp:docPr id="7" name="组合 68"/>
                <wp:cNvGraphicFramePr/>
                <a:graphic xmlns:a="http://schemas.openxmlformats.org/drawingml/2006/main">
                  <a:graphicData uri="http://schemas.microsoft.com/office/word/2010/wordprocessingGroup">
                    <wpg:wgp>
                      <wpg:cNvGrpSpPr/>
                      <wpg:grpSpPr>
                        <a:xfrm>
                          <a:off x="0" y="0"/>
                          <a:ext cx="6076950" cy="57150"/>
                          <a:chOff x="1080" y="8130"/>
                          <a:chExt cx="9570" cy="90"/>
                        </a:xfrm>
                      </wpg:grpSpPr>
                      <wps:wsp>
                        <wps:cNvPr id="5" name="自选图形 69"/>
                        <wps:cNvCnPr/>
                        <wps:spPr>
                          <a:xfrm>
                            <a:off x="1080" y="8130"/>
                            <a:ext cx="9570" cy="0"/>
                          </a:xfrm>
                          <a:prstGeom prst="straightConnector1">
                            <a:avLst/>
                          </a:prstGeom>
                          <a:ln w="9525" cap="flat" cmpd="sng">
                            <a:solidFill>
                              <a:srgbClr val="000000"/>
                            </a:solidFill>
                            <a:prstDash val="solid"/>
                            <a:headEnd type="none" w="med" len="med"/>
                            <a:tailEnd type="none" w="med" len="med"/>
                          </a:ln>
                        </wps:spPr>
                        <wps:bodyPr/>
                      </wps:wsp>
                      <wps:wsp>
                        <wps:cNvPr id="6" name="自选图形 70"/>
                        <wps:cNvCnPr/>
                        <wps:spPr>
                          <a:xfrm>
                            <a:off x="1080" y="8220"/>
                            <a:ext cx="9570"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68" o:spid="_x0000_s1026" o:spt="203" style="position:absolute;left:0pt;margin-left:11.5pt;margin-top:2.85pt;height:4.5pt;width:478.5pt;z-index:251670528;mso-width-relative:page;mso-height-relative:page;" coordorigin="1080,8130" coordsize="9570,90" o:gfxdata="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imt+b1wAAAAcBAAAPAAAAAAAAAAEAIAAAACIAAABkcnMvZG93bnJldi54bWxQ&#10;SwECFAAUAAAACACHTuJAN8ZjUGoCAADQBgAADgAAAAAAAAABACAAAAAmAQAAZHJzL2Uyb0RvYy54&#10;bWxQSwUGAAAAAAYABgBZAQAAAgYAAAAA&#10;">
                <o:lock v:ext="edit" aspectratio="f"/>
                <v:shape id="自选图形 69" o:spid="_x0000_s1026" o:spt="32" type="#_x0000_t32" style="position:absolute;left:1080;top:8130;height:0;width:9570;" filled="f" stroked="t" coordsize="21600,21600" o:gfxdata="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CsVrsAAADa&#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70" o:spid="_x0000_s1026" o:spt="32" type="#_x0000_t32" style="position:absolute;left:1080;top:8220;height:0;width:9570;" filled="f" stroked="t" coordsize="21600,21600" o:gfxdata="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IyIbsAAADa&#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bookmarkEnd w:id="0"/>
      <w:bookmarkEnd w:id="1"/>
      <w:bookmarkEnd w:id="2"/>
      <w:bookmarkEnd w:id="3"/>
      <w:bookmarkEnd w:id="4"/>
      <w:bookmarkEnd w:id="5"/>
      <w:bookmarkEnd w:id="6"/>
      <w:r>
        <w:rPr>
          <w:rFonts w:hint="eastAsia" w:ascii="微软雅黑" w:hAnsi="微软雅黑" w:eastAsia="微软雅黑" w:cs="微软雅黑"/>
          <w:b/>
          <w:sz w:val="72"/>
          <w:szCs w:val="72"/>
        </w:rPr>
        <w:t>详细设计</w:t>
      </w:r>
    </w:p>
    <w:p>
      <w:pPr>
        <w:jc w:val="center"/>
        <w:rPr>
          <w:rFonts w:ascii="微软雅黑" w:hAnsi="微软雅黑" w:eastAsia="微软雅黑" w:cs="微软雅黑"/>
          <w:b/>
          <w:sz w:val="15"/>
          <w:szCs w:val="15"/>
        </w:rPr>
      </w:pPr>
      <w:r>
        <w:rPr>
          <w:rFonts w:hint="eastAsia" w:ascii="微软雅黑" w:hAnsi="微软雅黑" w:eastAsia="微软雅黑" w:cs="微软雅黑"/>
          <w:b/>
          <w:sz w:val="48"/>
          <w:szCs w:val="48"/>
        </w:rPr>
        <w:t>（V1.2）</w:t>
      </w:r>
    </w:p>
    <w:p>
      <w:pPr>
        <w:jc w:val="center"/>
        <w:rPr>
          <w:rFonts w:ascii="微软雅黑" w:hAnsi="微软雅黑" w:eastAsia="微软雅黑" w:cs="微软雅黑"/>
          <w:b/>
          <w:sz w:val="15"/>
          <w:szCs w:val="15"/>
        </w:rPr>
      </w:pPr>
    </w:p>
    <w:p>
      <w:pPr>
        <w:rPr>
          <w:rFonts w:ascii="微软雅黑" w:hAnsi="微软雅黑" w:eastAsia="微软雅黑" w:cs="微软雅黑"/>
          <w:b/>
          <w:sz w:val="15"/>
          <w:szCs w:val="15"/>
        </w:rPr>
      </w:pPr>
    </w:p>
    <w:p>
      <w:pPr>
        <w:rPr>
          <w:rFonts w:ascii="微软雅黑" w:hAnsi="微软雅黑" w:eastAsia="微软雅黑" w:cs="微软雅黑"/>
          <w:b/>
          <w:sz w:val="15"/>
          <w:szCs w:val="15"/>
        </w:rPr>
      </w:pPr>
    </w:p>
    <w:p>
      <w:pPr>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spacing w:line="160" w:lineRule="exact"/>
        <w:rPr>
          <w:rFonts w:ascii="微软雅黑" w:hAnsi="微软雅黑" w:eastAsia="微软雅黑" w:cs="微软雅黑"/>
          <w:b/>
          <w:sz w:val="15"/>
          <w:szCs w:val="15"/>
        </w:rPr>
      </w:pPr>
    </w:p>
    <w:p>
      <w:pPr>
        <w:jc w:val="center"/>
        <w:rPr>
          <w:rFonts w:ascii="微软雅黑" w:hAnsi="微软雅黑" w:eastAsia="微软雅黑" w:cs="微软雅黑"/>
          <w:b/>
          <w:bCs/>
          <w:kern w:val="44"/>
          <w:sz w:val="32"/>
          <w:szCs w:val="32"/>
        </w:rPr>
      </w:pPr>
      <w:bookmarkStart w:id="102" w:name="_GoBack"/>
      <w:bookmarkEnd w:id="102"/>
      <w:r>
        <w:rPr>
          <w:rFonts w:hint="eastAsia" w:ascii="微软雅黑" w:hAnsi="微软雅黑" w:eastAsia="微软雅黑" w:cs="微软雅黑"/>
          <w:b/>
          <w:bCs/>
          <w:kern w:val="44"/>
          <w:sz w:val="32"/>
          <w:szCs w:val="32"/>
          <w:lang w:eastAsia="zh-CN"/>
        </w:rPr>
        <w:t>北京XX科技</w:t>
      </w:r>
      <w:r>
        <w:rPr>
          <w:rFonts w:hint="eastAsia" w:ascii="微软雅黑" w:hAnsi="微软雅黑" w:eastAsia="微软雅黑" w:cs="微软雅黑"/>
          <w:b/>
          <w:bCs/>
          <w:kern w:val="44"/>
          <w:sz w:val="32"/>
          <w:szCs w:val="32"/>
        </w:rPr>
        <w:t>有限公司</w:t>
      </w:r>
    </w:p>
    <w:p>
      <w:pPr>
        <w:jc w:val="center"/>
        <w:rPr>
          <w:rFonts w:ascii="微软雅黑" w:hAnsi="微软雅黑" w:eastAsia="微软雅黑" w:cs="微软雅黑"/>
          <w:b/>
          <w:sz w:val="15"/>
          <w:szCs w:val="15"/>
        </w:rPr>
      </w:pPr>
      <w:r>
        <w:rPr>
          <w:rFonts w:hint="eastAsia" w:ascii="微软雅黑" w:hAnsi="微软雅黑" w:eastAsia="微软雅黑" w:cs="微软雅黑"/>
          <w:b/>
          <w:bCs/>
          <w:kern w:val="44"/>
          <w:sz w:val="32"/>
          <w:szCs w:val="32"/>
        </w:rPr>
        <w:t>2018年</w:t>
      </w:r>
      <w:r>
        <w:rPr>
          <w:rFonts w:hint="eastAsia" w:ascii="微软雅黑" w:hAnsi="微软雅黑" w:eastAsia="微软雅黑" w:cs="微软雅黑"/>
          <w:b/>
          <w:bCs/>
          <w:kern w:val="44"/>
          <w:sz w:val="32"/>
          <w:szCs w:val="32"/>
          <w:lang w:val="en-US" w:eastAsia="zh-CN"/>
        </w:rPr>
        <w:t>3</w:t>
      </w:r>
      <w:r>
        <w:rPr>
          <w:rFonts w:hint="eastAsia" w:ascii="微软雅黑" w:hAnsi="微软雅黑" w:eastAsia="微软雅黑" w:cs="微软雅黑"/>
          <w:b/>
          <w:bCs/>
          <w:kern w:val="44"/>
          <w:sz w:val="32"/>
          <w:szCs w:val="32"/>
        </w:rPr>
        <w:t>月</w:t>
      </w:r>
      <w:r>
        <w:rPr>
          <w:rFonts w:hint="eastAsia" w:ascii="微软雅黑" w:hAnsi="微软雅黑" w:eastAsia="微软雅黑" w:cs="微软雅黑"/>
          <w:b/>
          <w:bCs/>
          <w:kern w:val="44"/>
          <w:sz w:val="32"/>
          <w:szCs w:val="32"/>
        </w:rPr>
        <w:br w:type="page"/>
      </w:r>
    </w:p>
    <w:p>
      <w:pPr>
        <w:spacing w:line="360" w:lineRule="auto"/>
        <w:jc w:val="center"/>
        <w:rPr>
          <w:rFonts w:ascii="微软雅黑" w:hAnsi="微软雅黑" w:eastAsia="微软雅黑" w:cs="微软雅黑"/>
          <w:b/>
          <w:kern w:val="28"/>
          <w:sz w:val="36"/>
          <w:szCs w:val="36"/>
        </w:rPr>
      </w:pPr>
      <w:r>
        <w:rPr>
          <w:rFonts w:hint="eastAsia" w:ascii="微软雅黑" w:hAnsi="微软雅黑" w:eastAsia="微软雅黑" w:cs="微软雅黑"/>
          <w:b/>
          <w:kern w:val="28"/>
          <w:sz w:val="36"/>
          <w:szCs w:val="36"/>
        </w:rPr>
        <w:t>目 录</w:t>
      </w:r>
    </w:p>
    <w:p>
      <w:pPr>
        <w:spacing w:line="160" w:lineRule="exact"/>
        <w:rPr>
          <w:rFonts w:ascii="微软雅黑" w:hAnsi="微软雅黑" w:eastAsia="微软雅黑" w:cs="微软雅黑"/>
          <w:b/>
          <w:sz w:val="15"/>
          <w:szCs w:val="15"/>
        </w:rPr>
      </w:pPr>
    </w:p>
    <w:p>
      <w:pPr>
        <w:pStyle w:val="26"/>
        <w:tabs>
          <w:tab w:val="right" w:leader="dot" w:pos="9912"/>
        </w:tabs>
        <w:rPr>
          <w:rFonts w:eastAsia="仿宋"/>
          <w:b w:val="0"/>
          <w:bCs w:val="0"/>
          <w:caps w:val="0"/>
          <w:sz w:val="28"/>
          <w:szCs w:val="22"/>
        </w:rPr>
      </w:pPr>
      <w:r>
        <w:rPr>
          <w:rFonts w:hint="eastAsia" w:ascii="微软雅黑" w:hAnsi="微软雅黑" w:eastAsia="仿宋" w:cs="微软雅黑"/>
          <w:b w:val="0"/>
          <w:bCs w:val="0"/>
          <w:caps w:val="0"/>
          <w:smallCaps/>
          <w:sz w:val="28"/>
          <w:szCs w:val="24"/>
        </w:rPr>
        <w:fldChar w:fldCharType="begin"/>
      </w:r>
      <w:r>
        <w:rPr>
          <w:rFonts w:hint="eastAsia" w:ascii="微软雅黑" w:hAnsi="微软雅黑" w:eastAsia="仿宋" w:cs="微软雅黑"/>
          <w:b w:val="0"/>
          <w:bCs w:val="0"/>
          <w:caps w:val="0"/>
          <w:smallCaps/>
          <w:sz w:val="28"/>
          <w:szCs w:val="24"/>
        </w:rPr>
        <w:instrText xml:space="preserve"> TOC \o "1-4" \h \z \u </w:instrText>
      </w:r>
      <w:r>
        <w:rPr>
          <w:rFonts w:hint="eastAsia" w:ascii="微软雅黑" w:hAnsi="微软雅黑" w:eastAsia="仿宋" w:cs="微软雅黑"/>
          <w:b w:val="0"/>
          <w:bCs w:val="0"/>
          <w:caps w:val="0"/>
          <w:smallCaps/>
          <w:sz w:val="28"/>
          <w:szCs w:val="24"/>
        </w:rPr>
        <w:fldChar w:fldCharType="separate"/>
      </w:r>
      <w:r>
        <w:fldChar w:fldCharType="begin"/>
      </w:r>
      <w:r>
        <w:instrText xml:space="preserve"> HYPERLINK \l "_Toc508831128" </w:instrText>
      </w:r>
      <w:r>
        <w:fldChar w:fldCharType="separate"/>
      </w:r>
      <w:r>
        <w:rPr>
          <w:rStyle w:val="45"/>
          <w:rFonts w:ascii="微软雅黑" w:hAnsi="微软雅黑" w:eastAsia="仿宋" w:cs="微软雅黑"/>
          <w:sz w:val="28"/>
        </w:rPr>
        <w:t>1.</w:t>
      </w:r>
      <w:r>
        <w:rPr>
          <w:rStyle w:val="45"/>
          <w:rFonts w:hint="eastAsia" w:ascii="微软雅黑" w:hAnsi="微软雅黑" w:eastAsia="仿宋" w:cs="微软雅黑"/>
          <w:sz w:val="28"/>
        </w:rPr>
        <w:t>实现蓝图</w:t>
      </w:r>
      <w:r>
        <w:rPr>
          <w:rFonts w:eastAsia="仿宋"/>
          <w:sz w:val="28"/>
        </w:rPr>
        <w:tab/>
      </w:r>
      <w:r>
        <w:rPr>
          <w:rFonts w:eastAsia="仿宋"/>
          <w:sz w:val="28"/>
        </w:rPr>
        <w:fldChar w:fldCharType="begin"/>
      </w:r>
      <w:r>
        <w:rPr>
          <w:rFonts w:eastAsia="仿宋"/>
          <w:sz w:val="28"/>
        </w:rPr>
        <w:instrText xml:space="preserve"> PAGEREF _Toc508831128 \h </w:instrText>
      </w:r>
      <w:r>
        <w:rPr>
          <w:rFonts w:eastAsia="仿宋"/>
          <w:sz w:val="28"/>
        </w:rPr>
        <w:fldChar w:fldCharType="separate"/>
      </w:r>
      <w:r>
        <w:rPr>
          <w:rFonts w:eastAsia="仿宋"/>
          <w:sz w:val="28"/>
        </w:rPr>
        <w:t>5</w:t>
      </w:r>
      <w:r>
        <w:rPr>
          <w:rFonts w:eastAsia="仿宋"/>
          <w:sz w:val="28"/>
        </w:rPr>
        <w:fldChar w:fldCharType="end"/>
      </w:r>
      <w:r>
        <w:rPr>
          <w:rFonts w:eastAsia="仿宋"/>
          <w:sz w:val="28"/>
        </w:rPr>
        <w:fldChar w:fldCharType="end"/>
      </w:r>
    </w:p>
    <w:p>
      <w:pPr>
        <w:pStyle w:val="30"/>
        <w:tabs>
          <w:tab w:val="right" w:leader="dot" w:pos="9912"/>
        </w:tabs>
        <w:rPr>
          <w:rFonts w:eastAsia="仿宋"/>
          <w:smallCaps w:val="0"/>
          <w:sz w:val="28"/>
          <w:szCs w:val="22"/>
        </w:rPr>
      </w:pPr>
      <w:r>
        <w:fldChar w:fldCharType="begin"/>
      </w:r>
      <w:r>
        <w:instrText xml:space="preserve"> HYPERLINK \l "_Toc508831129" </w:instrText>
      </w:r>
      <w:r>
        <w:fldChar w:fldCharType="separate"/>
      </w:r>
      <w:r>
        <w:rPr>
          <w:rStyle w:val="45"/>
          <w:rFonts w:eastAsia="仿宋"/>
          <w:sz w:val="28"/>
        </w:rPr>
        <w:t>1</w:t>
      </w:r>
      <w:r>
        <w:rPr>
          <w:rStyle w:val="45"/>
          <w:rFonts w:eastAsia="仿宋"/>
          <w:sz w:val="28"/>
          <w:lang w:val="zh-CN"/>
        </w:rPr>
        <w:t>.</w:t>
      </w:r>
      <w:r>
        <w:rPr>
          <w:rStyle w:val="45"/>
          <w:rFonts w:eastAsia="仿宋"/>
          <w:sz w:val="28"/>
        </w:rPr>
        <w:t>1</w:t>
      </w:r>
      <w:r>
        <w:rPr>
          <w:rStyle w:val="45"/>
          <w:rFonts w:hint="eastAsia" w:eastAsia="仿宋"/>
          <w:sz w:val="28"/>
        </w:rPr>
        <w:t>整体设计</w:t>
      </w:r>
      <w:r>
        <w:rPr>
          <w:rFonts w:eastAsia="仿宋"/>
          <w:sz w:val="28"/>
        </w:rPr>
        <w:tab/>
      </w:r>
      <w:r>
        <w:rPr>
          <w:rFonts w:eastAsia="仿宋"/>
          <w:sz w:val="28"/>
        </w:rPr>
        <w:fldChar w:fldCharType="begin"/>
      </w:r>
      <w:r>
        <w:rPr>
          <w:rFonts w:eastAsia="仿宋"/>
          <w:sz w:val="28"/>
        </w:rPr>
        <w:instrText xml:space="preserve"> PAGEREF _Toc508831129 \h </w:instrText>
      </w:r>
      <w:r>
        <w:rPr>
          <w:rFonts w:eastAsia="仿宋"/>
          <w:sz w:val="28"/>
        </w:rPr>
        <w:fldChar w:fldCharType="separate"/>
      </w:r>
      <w:r>
        <w:rPr>
          <w:rFonts w:eastAsia="仿宋"/>
          <w:sz w:val="28"/>
        </w:rPr>
        <w:t>5</w:t>
      </w:r>
      <w:r>
        <w:rPr>
          <w:rFonts w:eastAsia="仿宋"/>
          <w:sz w:val="28"/>
        </w:rPr>
        <w:fldChar w:fldCharType="end"/>
      </w:r>
      <w:r>
        <w:rPr>
          <w:rFonts w:eastAsia="仿宋"/>
          <w:sz w:val="28"/>
        </w:rPr>
        <w:fldChar w:fldCharType="end"/>
      </w:r>
    </w:p>
    <w:p>
      <w:pPr>
        <w:pStyle w:val="20"/>
        <w:tabs>
          <w:tab w:val="right" w:leader="dot" w:pos="9912"/>
        </w:tabs>
        <w:rPr>
          <w:rFonts w:eastAsia="仿宋"/>
          <w:i w:val="0"/>
          <w:iCs w:val="0"/>
          <w:sz w:val="28"/>
          <w:szCs w:val="22"/>
        </w:rPr>
      </w:pPr>
      <w:r>
        <w:fldChar w:fldCharType="begin"/>
      </w:r>
      <w:r>
        <w:instrText xml:space="preserve"> HYPERLINK \l "_Toc508831130" </w:instrText>
      </w:r>
      <w:r>
        <w:fldChar w:fldCharType="separate"/>
      </w:r>
      <w:r>
        <w:rPr>
          <w:rStyle w:val="45"/>
          <w:rFonts w:ascii="微软雅黑" w:hAnsi="微软雅黑" w:eastAsia="仿宋" w:cs="微软雅黑"/>
          <w:i w:val="0"/>
          <w:sz w:val="28"/>
        </w:rPr>
        <w:t>1</w:t>
      </w:r>
      <w:r>
        <w:rPr>
          <w:rStyle w:val="45"/>
          <w:rFonts w:ascii="微软雅黑" w:hAnsi="微软雅黑" w:eastAsia="仿宋" w:cs="微软雅黑"/>
          <w:i w:val="0"/>
          <w:sz w:val="28"/>
          <w:lang w:val="zh-CN"/>
        </w:rPr>
        <w:t>.</w:t>
      </w:r>
      <w:r>
        <w:rPr>
          <w:rStyle w:val="45"/>
          <w:rFonts w:ascii="微软雅黑" w:hAnsi="微软雅黑" w:eastAsia="仿宋" w:cs="微软雅黑"/>
          <w:i w:val="0"/>
          <w:sz w:val="28"/>
        </w:rPr>
        <w:t>1</w:t>
      </w:r>
      <w:r>
        <w:rPr>
          <w:rStyle w:val="45"/>
          <w:rFonts w:ascii="微软雅黑" w:hAnsi="微软雅黑" w:eastAsia="仿宋" w:cs="微软雅黑"/>
          <w:i w:val="0"/>
          <w:sz w:val="28"/>
          <w:lang w:val="zh-CN"/>
        </w:rPr>
        <w:t>.1</w:t>
      </w:r>
      <w:r>
        <w:rPr>
          <w:rStyle w:val="45"/>
          <w:rFonts w:hint="eastAsia" w:ascii="微软雅黑" w:hAnsi="微软雅黑" w:eastAsia="仿宋" w:cs="微软雅黑"/>
          <w:i w:val="0"/>
          <w:sz w:val="28"/>
        </w:rPr>
        <w:t>业务执行层</w:t>
      </w:r>
      <w:r>
        <w:rPr>
          <w:rFonts w:eastAsia="仿宋"/>
          <w:i w:val="0"/>
          <w:sz w:val="28"/>
        </w:rPr>
        <w:tab/>
      </w:r>
      <w:r>
        <w:rPr>
          <w:rFonts w:eastAsia="仿宋"/>
          <w:i w:val="0"/>
          <w:sz w:val="28"/>
        </w:rPr>
        <w:fldChar w:fldCharType="begin"/>
      </w:r>
      <w:r>
        <w:rPr>
          <w:rFonts w:eastAsia="仿宋"/>
          <w:i w:val="0"/>
          <w:sz w:val="28"/>
        </w:rPr>
        <w:instrText xml:space="preserve"> PAGEREF _Toc508831130 \h </w:instrText>
      </w:r>
      <w:r>
        <w:rPr>
          <w:rFonts w:eastAsia="仿宋"/>
          <w:i w:val="0"/>
          <w:sz w:val="28"/>
        </w:rPr>
        <w:fldChar w:fldCharType="separate"/>
      </w:r>
      <w:r>
        <w:rPr>
          <w:rFonts w:eastAsia="仿宋"/>
          <w:i w:val="0"/>
          <w:sz w:val="28"/>
        </w:rPr>
        <w:t>6</w:t>
      </w:r>
      <w:r>
        <w:rPr>
          <w:rFonts w:eastAsia="仿宋"/>
          <w:i w:val="0"/>
          <w:sz w:val="28"/>
        </w:rPr>
        <w:fldChar w:fldCharType="end"/>
      </w:r>
      <w:r>
        <w:rPr>
          <w:rFonts w:eastAsia="仿宋"/>
          <w:i w:val="0"/>
          <w:sz w:val="28"/>
        </w:rPr>
        <w:fldChar w:fldCharType="end"/>
      </w:r>
    </w:p>
    <w:p>
      <w:pPr>
        <w:pStyle w:val="30"/>
        <w:tabs>
          <w:tab w:val="right" w:leader="dot" w:pos="9912"/>
        </w:tabs>
        <w:rPr>
          <w:rFonts w:eastAsia="仿宋"/>
          <w:smallCaps w:val="0"/>
          <w:sz w:val="28"/>
          <w:szCs w:val="22"/>
        </w:rPr>
      </w:pPr>
      <w:r>
        <w:fldChar w:fldCharType="begin"/>
      </w:r>
      <w:r>
        <w:instrText xml:space="preserve"> HYPERLINK \l "_Toc508831131" </w:instrText>
      </w:r>
      <w:r>
        <w:fldChar w:fldCharType="separate"/>
      </w:r>
      <w:r>
        <w:rPr>
          <w:rStyle w:val="45"/>
          <w:rFonts w:eastAsia="仿宋"/>
          <w:sz w:val="28"/>
        </w:rPr>
        <w:t>2</w:t>
      </w:r>
      <w:r>
        <w:rPr>
          <w:rStyle w:val="45"/>
          <w:rFonts w:eastAsia="仿宋"/>
          <w:sz w:val="28"/>
          <w:lang w:val="zh-CN"/>
        </w:rPr>
        <w:t>.</w:t>
      </w:r>
      <w:r>
        <w:rPr>
          <w:rStyle w:val="45"/>
          <w:rFonts w:eastAsia="仿宋"/>
          <w:sz w:val="28"/>
        </w:rPr>
        <w:t>2</w:t>
      </w:r>
      <w:r>
        <w:rPr>
          <w:rStyle w:val="45"/>
          <w:rFonts w:hint="eastAsia" w:eastAsia="仿宋"/>
          <w:sz w:val="28"/>
        </w:rPr>
        <w:t>详细设计</w:t>
      </w:r>
      <w:r>
        <w:rPr>
          <w:rFonts w:eastAsia="仿宋"/>
          <w:sz w:val="28"/>
        </w:rPr>
        <w:tab/>
      </w:r>
      <w:r>
        <w:rPr>
          <w:rFonts w:eastAsia="仿宋"/>
          <w:sz w:val="28"/>
        </w:rPr>
        <w:fldChar w:fldCharType="begin"/>
      </w:r>
      <w:r>
        <w:rPr>
          <w:rFonts w:eastAsia="仿宋"/>
          <w:sz w:val="28"/>
        </w:rPr>
        <w:instrText xml:space="preserve"> PAGEREF _Toc508831131 \h </w:instrText>
      </w:r>
      <w:r>
        <w:rPr>
          <w:rFonts w:eastAsia="仿宋"/>
          <w:sz w:val="28"/>
        </w:rPr>
        <w:fldChar w:fldCharType="separate"/>
      </w:r>
      <w:r>
        <w:rPr>
          <w:rFonts w:eastAsia="仿宋"/>
          <w:sz w:val="28"/>
        </w:rPr>
        <w:t>8</w:t>
      </w:r>
      <w:r>
        <w:rPr>
          <w:rFonts w:eastAsia="仿宋"/>
          <w:sz w:val="28"/>
        </w:rPr>
        <w:fldChar w:fldCharType="end"/>
      </w:r>
      <w:r>
        <w:rPr>
          <w:rFonts w:eastAsia="仿宋"/>
          <w:sz w:val="28"/>
        </w:rPr>
        <w:fldChar w:fldCharType="end"/>
      </w:r>
    </w:p>
    <w:p>
      <w:pPr>
        <w:pStyle w:val="20"/>
        <w:tabs>
          <w:tab w:val="right" w:leader="dot" w:pos="9912"/>
        </w:tabs>
        <w:rPr>
          <w:rFonts w:eastAsia="仿宋"/>
          <w:i w:val="0"/>
          <w:iCs w:val="0"/>
          <w:sz w:val="28"/>
          <w:szCs w:val="22"/>
        </w:rPr>
      </w:pPr>
      <w:r>
        <w:fldChar w:fldCharType="begin"/>
      </w:r>
      <w:r>
        <w:instrText xml:space="preserve"> HYPERLINK \l "_Toc508831132" </w:instrText>
      </w:r>
      <w:r>
        <w:fldChar w:fldCharType="separate"/>
      </w:r>
      <w:r>
        <w:rPr>
          <w:rStyle w:val="45"/>
          <w:rFonts w:ascii="微软雅黑" w:hAnsi="微软雅黑" w:eastAsia="仿宋" w:cs="微软雅黑"/>
          <w:i w:val="0"/>
          <w:sz w:val="28"/>
        </w:rPr>
        <w:t>2.2.1</w:t>
      </w:r>
      <w:r>
        <w:rPr>
          <w:rStyle w:val="45"/>
          <w:rFonts w:hint="eastAsia" w:ascii="微软雅黑" w:hAnsi="微软雅黑" w:eastAsia="仿宋" w:cs="微软雅黑"/>
          <w:i w:val="0"/>
          <w:sz w:val="28"/>
        </w:rPr>
        <w:t>接口管理</w:t>
      </w:r>
      <w:r>
        <w:rPr>
          <w:rFonts w:eastAsia="仿宋"/>
          <w:i w:val="0"/>
          <w:sz w:val="28"/>
        </w:rPr>
        <w:tab/>
      </w:r>
      <w:r>
        <w:rPr>
          <w:rFonts w:eastAsia="仿宋"/>
          <w:i w:val="0"/>
          <w:sz w:val="28"/>
        </w:rPr>
        <w:fldChar w:fldCharType="begin"/>
      </w:r>
      <w:r>
        <w:rPr>
          <w:rFonts w:eastAsia="仿宋"/>
          <w:i w:val="0"/>
          <w:sz w:val="28"/>
        </w:rPr>
        <w:instrText xml:space="preserve"> PAGEREF _Toc508831132 \h </w:instrText>
      </w:r>
      <w:r>
        <w:rPr>
          <w:rFonts w:eastAsia="仿宋"/>
          <w:i w:val="0"/>
          <w:sz w:val="28"/>
        </w:rPr>
        <w:fldChar w:fldCharType="separate"/>
      </w:r>
      <w:r>
        <w:rPr>
          <w:rFonts w:eastAsia="仿宋"/>
          <w:i w:val="0"/>
          <w:sz w:val="28"/>
        </w:rPr>
        <w:t>8</w:t>
      </w:r>
      <w:r>
        <w:rPr>
          <w:rFonts w:eastAsia="仿宋"/>
          <w:i w:val="0"/>
          <w:sz w:val="28"/>
        </w:rPr>
        <w:fldChar w:fldCharType="end"/>
      </w:r>
      <w:r>
        <w:rPr>
          <w:rFonts w:eastAsia="仿宋"/>
          <w:i w:val="0"/>
          <w:sz w:val="28"/>
        </w:rPr>
        <w:fldChar w:fldCharType="end"/>
      </w:r>
    </w:p>
    <w:p>
      <w:pPr>
        <w:pStyle w:val="27"/>
        <w:tabs>
          <w:tab w:val="right" w:leader="dot" w:pos="9912"/>
        </w:tabs>
        <w:rPr>
          <w:rFonts w:eastAsia="仿宋"/>
          <w:sz w:val="28"/>
          <w:szCs w:val="22"/>
        </w:rPr>
      </w:pPr>
      <w:r>
        <w:fldChar w:fldCharType="begin"/>
      </w:r>
      <w:r>
        <w:instrText xml:space="preserve"> HYPERLINK \l "_Toc508831133" </w:instrText>
      </w:r>
      <w:r>
        <w:fldChar w:fldCharType="separate"/>
      </w:r>
      <w:r>
        <w:rPr>
          <w:rStyle w:val="45"/>
          <w:rFonts w:eastAsia="仿宋"/>
          <w:sz w:val="28"/>
        </w:rPr>
        <w:t>2.2.1.1</w:t>
      </w:r>
      <w:r>
        <w:rPr>
          <w:rStyle w:val="45"/>
          <w:rFonts w:hint="eastAsia" w:eastAsia="仿宋"/>
          <w:sz w:val="28"/>
        </w:rPr>
        <w:t>业务流程</w:t>
      </w:r>
      <w:r>
        <w:rPr>
          <w:rFonts w:eastAsia="仿宋"/>
          <w:sz w:val="28"/>
        </w:rPr>
        <w:tab/>
      </w:r>
      <w:r>
        <w:rPr>
          <w:rFonts w:eastAsia="仿宋"/>
          <w:sz w:val="28"/>
        </w:rPr>
        <w:fldChar w:fldCharType="begin"/>
      </w:r>
      <w:r>
        <w:rPr>
          <w:rFonts w:eastAsia="仿宋"/>
          <w:sz w:val="28"/>
        </w:rPr>
        <w:instrText xml:space="preserve"> PAGEREF _Toc508831133 \h </w:instrText>
      </w:r>
      <w:r>
        <w:rPr>
          <w:rFonts w:eastAsia="仿宋"/>
          <w:sz w:val="28"/>
        </w:rPr>
        <w:fldChar w:fldCharType="separate"/>
      </w:r>
      <w:r>
        <w:rPr>
          <w:rFonts w:eastAsia="仿宋"/>
          <w:sz w:val="28"/>
        </w:rPr>
        <w:t>9</w:t>
      </w:r>
      <w:r>
        <w:rPr>
          <w:rFonts w:eastAsia="仿宋"/>
          <w:sz w:val="28"/>
        </w:rPr>
        <w:fldChar w:fldCharType="end"/>
      </w:r>
      <w:r>
        <w:rPr>
          <w:rFonts w:eastAsia="仿宋"/>
          <w:sz w:val="28"/>
        </w:rPr>
        <w:fldChar w:fldCharType="end"/>
      </w:r>
    </w:p>
    <w:p>
      <w:pPr>
        <w:pStyle w:val="27"/>
        <w:tabs>
          <w:tab w:val="right" w:leader="dot" w:pos="9912"/>
        </w:tabs>
        <w:rPr>
          <w:rFonts w:eastAsia="仿宋"/>
          <w:sz w:val="28"/>
          <w:szCs w:val="22"/>
        </w:rPr>
      </w:pPr>
      <w:r>
        <w:fldChar w:fldCharType="begin"/>
      </w:r>
      <w:r>
        <w:instrText xml:space="preserve"> HYPERLINK \l "_Toc508831134" </w:instrText>
      </w:r>
      <w:r>
        <w:fldChar w:fldCharType="separate"/>
      </w:r>
      <w:r>
        <w:rPr>
          <w:rStyle w:val="45"/>
          <w:rFonts w:ascii="微软雅黑" w:hAnsi="微软雅黑" w:eastAsia="仿宋"/>
          <w:sz w:val="28"/>
        </w:rPr>
        <w:t>2.2.1.2</w:t>
      </w:r>
      <w:r>
        <w:rPr>
          <w:rStyle w:val="45"/>
          <w:rFonts w:hint="eastAsia" w:ascii="微软雅黑" w:hAnsi="微软雅黑" w:eastAsia="仿宋"/>
          <w:sz w:val="28"/>
        </w:rPr>
        <w:t>功能模块</w:t>
      </w:r>
      <w:r>
        <w:rPr>
          <w:rFonts w:eastAsia="仿宋"/>
          <w:sz w:val="28"/>
        </w:rPr>
        <w:tab/>
      </w:r>
      <w:r>
        <w:rPr>
          <w:rFonts w:eastAsia="仿宋"/>
          <w:sz w:val="28"/>
        </w:rPr>
        <w:fldChar w:fldCharType="begin"/>
      </w:r>
      <w:r>
        <w:rPr>
          <w:rFonts w:eastAsia="仿宋"/>
          <w:sz w:val="28"/>
        </w:rPr>
        <w:instrText xml:space="preserve"> PAGEREF _Toc508831134 \h </w:instrText>
      </w:r>
      <w:r>
        <w:rPr>
          <w:rFonts w:eastAsia="仿宋"/>
          <w:sz w:val="28"/>
        </w:rPr>
        <w:fldChar w:fldCharType="separate"/>
      </w:r>
      <w:r>
        <w:rPr>
          <w:rFonts w:eastAsia="仿宋"/>
          <w:sz w:val="28"/>
        </w:rPr>
        <w:t>41</w:t>
      </w:r>
      <w:r>
        <w:rPr>
          <w:rFonts w:eastAsia="仿宋"/>
          <w:sz w:val="28"/>
        </w:rPr>
        <w:fldChar w:fldCharType="end"/>
      </w:r>
      <w:r>
        <w:rPr>
          <w:rFonts w:eastAsia="仿宋"/>
          <w:sz w:val="28"/>
        </w:rPr>
        <w:fldChar w:fldCharType="end"/>
      </w:r>
    </w:p>
    <w:p>
      <w:pPr>
        <w:pStyle w:val="20"/>
        <w:tabs>
          <w:tab w:val="right" w:leader="dot" w:pos="9912"/>
        </w:tabs>
        <w:rPr>
          <w:rFonts w:eastAsia="仿宋"/>
          <w:i w:val="0"/>
          <w:iCs w:val="0"/>
          <w:sz w:val="28"/>
          <w:szCs w:val="22"/>
        </w:rPr>
      </w:pPr>
      <w:r>
        <w:fldChar w:fldCharType="begin"/>
      </w:r>
      <w:r>
        <w:instrText xml:space="preserve"> HYPERLINK \l "_Toc508831135" </w:instrText>
      </w:r>
      <w:r>
        <w:fldChar w:fldCharType="separate"/>
      </w:r>
      <w:r>
        <w:rPr>
          <w:rStyle w:val="45"/>
          <w:rFonts w:ascii="微软雅黑" w:hAnsi="微软雅黑" w:eastAsia="仿宋" w:cs="微软雅黑"/>
          <w:i w:val="0"/>
          <w:sz w:val="28"/>
        </w:rPr>
        <w:t>2.2.2</w:t>
      </w:r>
      <w:r>
        <w:rPr>
          <w:rStyle w:val="45"/>
          <w:rFonts w:hint="eastAsia" w:ascii="微软雅黑" w:hAnsi="微软雅黑" w:eastAsia="仿宋" w:cs="微软雅黑"/>
          <w:i w:val="0"/>
          <w:sz w:val="28"/>
        </w:rPr>
        <w:t>生产订单管理</w:t>
      </w:r>
      <w:r>
        <w:rPr>
          <w:rFonts w:eastAsia="仿宋"/>
          <w:i w:val="0"/>
          <w:sz w:val="28"/>
        </w:rPr>
        <w:tab/>
      </w:r>
      <w:r>
        <w:rPr>
          <w:rFonts w:eastAsia="仿宋"/>
          <w:i w:val="0"/>
          <w:sz w:val="28"/>
        </w:rPr>
        <w:fldChar w:fldCharType="begin"/>
      </w:r>
      <w:r>
        <w:rPr>
          <w:rFonts w:eastAsia="仿宋"/>
          <w:i w:val="0"/>
          <w:sz w:val="28"/>
        </w:rPr>
        <w:instrText xml:space="preserve"> PAGEREF _Toc508831135 \h </w:instrText>
      </w:r>
      <w:r>
        <w:rPr>
          <w:rFonts w:eastAsia="仿宋"/>
          <w:i w:val="0"/>
          <w:sz w:val="28"/>
        </w:rPr>
        <w:fldChar w:fldCharType="separate"/>
      </w:r>
      <w:r>
        <w:rPr>
          <w:rFonts w:eastAsia="仿宋"/>
          <w:i w:val="0"/>
          <w:sz w:val="28"/>
        </w:rPr>
        <w:t>43</w:t>
      </w:r>
      <w:r>
        <w:rPr>
          <w:rFonts w:eastAsia="仿宋"/>
          <w:i w:val="0"/>
          <w:sz w:val="28"/>
        </w:rPr>
        <w:fldChar w:fldCharType="end"/>
      </w:r>
      <w:r>
        <w:rPr>
          <w:rFonts w:eastAsia="仿宋"/>
          <w:i w:val="0"/>
          <w:sz w:val="28"/>
        </w:rPr>
        <w:fldChar w:fldCharType="end"/>
      </w:r>
    </w:p>
    <w:p>
      <w:pPr>
        <w:pStyle w:val="27"/>
        <w:tabs>
          <w:tab w:val="right" w:leader="dot" w:pos="9912"/>
        </w:tabs>
        <w:rPr>
          <w:rFonts w:eastAsia="仿宋"/>
          <w:sz w:val="28"/>
          <w:szCs w:val="22"/>
        </w:rPr>
      </w:pPr>
      <w:r>
        <w:fldChar w:fldCharType="begin"/>
      </w:r>
      <w:r>
        <w:instrText xml:space="preserve"> HYPERLINK \l "_Toc508831136" </w:instrText>
      </w:r>
      <w:r>
        <w:fldChar w:fldCharType="separate"/>
      </w:r>
      <w:r>
        <w:rPr>
          <w:rStyle w:val="45"/>
          <w:rFonts w:ascii="微软雅黑" w:hAnsi="微软雅黑" w:eastAsia="仿宋"/>
          <w:sz w:val="28"/>
        </w:rPr>
        <w:t>2.2.2.1</w:t>
      </w:r>
      <w:r>
        <w:rPr>
          <w:rStyle w:val="45"/>
          <w:rFonts w:hint="eastAsia" w:ascii="微软雅黑" w:hAnsi="微软雅黑" w:eastAsia="仿宋"/>
          <w:sz w:val="28"/>
        </w:rPr>
        <w:t>业务流程</w:t>
      </w:r>
      <w:r>
        <w:rPr>
          <w:rFonts w:eastAsia="仿宋"/>
          <w:sz w:val="28"/>
        </w:rPr>
        <w:tab/>
      </w:r>
      <w:r>
        <w:rPr>
          <w:rFonts w:eastAsia="仿宋"/>
          <w:sz w:val="28"/>
        </w:rPr>
        <w:fldChar w:fldCharType="begin"/>
      </w:r>
      <w:r>
        <w:rPr>
          <w:rFonts w:eastAsia="仿宋"/>
          <w:sz w:val="28"/>
        </w:rPr>
        <w:instrText xml:space="preserve"> PAGEREF _Toc508831136 \h </w:instrText>
      </w:r>
      <w:r>
        <w:rPr>
          <w:rFonts w:eastAsia="仿宋"/>
          <w:sz w:val="28"/>
        </w:rPr>
        <w:fldChar w:fldCharType="separate"/>
      </w:r>
      <w:r>
        <w:rPr>
          <w:rFonts w:eastAsia="仿宋"/>
          <w:sz w:val="28"/>
        </w:rPr>
        <w:t>43</w:t>
      </w:r>
      <w:r>
        <w:rPr>
          <w:rFonts w:eastAsia="仿宋"/>
          <w:sz w:val="28"/>
        </w:rPr>
        <w:fldChar w:fldCharType="end"/>
      </w:r>
      <w:r>
        <w:rPr>
          <w:rFonts w:eastAsia="仿宋"/>
          <w:sz w:val="28"/>
        </w:rPr>
        <w:fldChar w:fldCharType="end"/>
      </w:r>
    </w:p>
    <w:p>
      <w:pPr>
        <w:pStyle w:val="27"/>
        <w:tabs>
          <w:tab w:val="right" w:leader="dot" w:pos="9912"/>
        </w:tabs>
        <w:rPr>
          <w:rFonts w:eastAsia="仿宋"/>
          <w:sz w:val="28"/>
          <w:szCs w:val="22"/>
        </w:rPr>
      </w:pPr>
      <w:r>
        <w:fldChar w:fldCharType="begin"/>
      </w:r>
      <w:r>
        <w:instrText xml:space="preserve"> HYPERLINK \l "_Toc508831137" </w:instrText>
      </w:r>
      <w:r>
        <w:fldChar w:fldCharType="separate"/>
      </w:r>
      <w:r>
        <w:rPr>
          <w:rStyle w:val="45"/>
          <w:rFonts w:ascii="微软雅黑" w:hAnsi="微软雅黑" w:eastAsia="仿宋"/>
          <w:sz w:val="28"/>
        </w:rPr>
        <w:t>2.2.2.2</w:t>
      </w:r>
      <w:r>
        <w:rPr>
          <w:rStyle w:val="45"/>
          <w:rFonts w:hint="eastAsia" w:ascii="微软雅黑" w:hAnsi="微软雅黑" w:eastAsia="仿宋"/>
          <w:sz w:val="28"/>
        </w:rPr>
        <w:t>功能模块</w:t>
      </w:r>
      <w:r>
        <w:rPr>
          <w:rFonts w:eastAsia="仿宋"/>
          <w:sz w:val="28"/>
        </w:rPr>
        <w:tab/>
      </w:r>
      <w:r>
        <w:rPr>
          <w:rFonts w:eastAsia="仿宋"/>
          <w:sz w:val="28"/>
        </w:rPr>
        <w:fldChar w:fldCharType="begin"/>
      </w:r>
      <w:r>
        <w:rPr>
          <w:rFonts w:eastAsia="仿宋"/>
          <w:sz w:val="28"/>
        </w:rPr>
        <w:instrText xml:space="preserve"> PAGEREF _Toc508831137 \h </w:instrText>
      </w:r>
      <w:r>
        <w:rPr>
          <w:rFonts w:eastAsia="仿宋"/>
          <w:sz w:val="28"/>
        </w:rPr>
        <w:fldChar w:fldCharType="separate"/>
      </w:r>
      <w:r>
        <w:rPr>
          <w:rFonts w:eastAsia="仿宋"/>
          <w:sz w:val="28"/>
        </w:rPr>
        <w:t>47</w:t>
      </w:r>
      <w:r>
        <w:rPr>
          <w:rFonts w:eastAsia="仿宋"/>
          <w:sz w:val="28"/>
        </w:rPr>
        <w:fldChar w:fldCharType="end"/>
      </w:r>
      <w:r>
        <w:rPr>
          <w:rFonts w:eastAsia="仿宋"/>
          <w:sz w:val="28"/>
        </w:rPr>
        <w:fldChar w:fldCharType="end"/>
      </w:r>
    </w:p>
    <w:p>
      <w:pPr>
        <w:pStyle w:val="20"/>
        <w:tabs>
          <w:tab w:val="right" w:leader="dot" w:pos="9912"/>
        </w:tabs>
        <w:rPr>
          <w:rFonts w:eastAsia="仿宋"/>
          <w:i w:val="0"/>
          <w:iCs w:val="0"/>
          <w:sz w:val="28"/>
          <w:szCs w:val="22"/>
        </w:rPr>
      </w:pPr>
      <w:r>
        <w:fldChar w:fldCharType="begin"/>
      </w:r>
      <w:r>
        <w:instrText xml:space="preserve"> HYPERLINK \l "_Toc508831138" </w:instrText>
      </w:r>
      <w:r>
        <w:fldChar w:fldCharType="separate"/>
      </w:r>
      <w:r>
        <w:rPr>
          <w:rStyle w:val="45"/>
          <w:rFonts w:ascii="微软雅黑" w:hAnsi="微软雅黑" w:eastAsia="仿宋" w:cs="微软雅黑"/>
          <w:i w:val="0"/>
          <w:sz w:val="28"/>
        </w:rPr>
        <w:t>2.2.3BOM</w:t>
      </w:r>
      <w:r>
        <w:rPr>
          <w:rStyle w:val="45"/>
          <w:rFonts w:hint="eastAsia" w:ascii="微软雅黑" w:hAnsi="微软雅黑" w:eastAsia="仿宋" w:cs="微软雅黑"/>
          <w:i w:val="0"/>
          <w:sz w:val="28"/>
        </w:rPr>
        <w:t>管理</w:t>
      </w:r>
      <w:r>
        <w:rPr>
          <w:rFonts w:eastAsia="仿宋"/>
          <w:i w:val="0"/>
          <w:sz w:val="28"/>
        </w:rPr>
        <w:tab/>
      </w:r>
      <w:r>
        <w:rPr>
          <w:rFonts w:eastAsia="仿宋"/>
          <w:i w:val="0"/>
          <w:sz w:val="28"/>
        </w:rPr>
        <w:fldChar w:fldCharType="begin"/>
      </w:r>
      <w:r>
        <w:rPr>
          <w:rFonts w:eastAsia="仿宋"/>
          <w:i w:val="0"/>
          <w:sz w:val="28"/>
        </w:rPr>
        <w:instrText xml:space="preserve"> PAGEREF _Toc508831138 \h </w:instrText>
      </w:r>
      <w:r>
        <w:rPr>
          <w:rFonts w:eastAsia="仿宋"/>
          <w:i w:val="0"/>
          <w:sz w:val="28"/>
        </w:rPr>
        <w:fldChar w:fldCharType="separate"/>
      </w:r>
      <w:r>
        <w:rPr>
          <w:rFonts w:eastAsia="仿宋"/>
          <w:i w:val="0"/>
          <w:sz w:val="28"/>
        </w:rPr>
        <w:t>51</w:t>
      </w:r>
      <w:r>
        <w:rPr>
          <w:rFonts w:eastAsia="仿宋"/>
          <w:i w:val="0"/>
          <w:sz w:val="28"/>
        </w:rPr>
        <w:fldChar w:fldCharType="end"/>
      </w:r>
      <w:r>
        <w:rPr>
          <w:rFonts w:eastAsia="仿宋"/>
          <w:i w:val="0"/>
          <w:sz w:val="28"/>
        </w:rPr>
        <w:fldChar w:fldCharType="end"/>
      </w:r>
    </w:p>
    <w:p>
      <w:pPr>
        <w:pStyle w:val="27"/>
        <w:tabs>
          <w:tab w:val="right" w:leader="dot" w:pos="9912"/>
        </w:tabs>
        <w:rPr>
          <w:rFonts w:eastAsia="仿宋"/>
          <w:sz w:val="28"/>
          <w:szCs w:val="22"/>
        </w:rPr>
      </w:pPr>
      <w:r>
        <w:fldChar w:fldCharType="begin"/>
      </w:r>
      <w:r>
        <w:instrText xml:space="preserve"> HYPERLINK \l "_Toc508831139" </w:instrText>
      </w:r>
      <w:r>
        <w:fldChar w:fldCharType="separate"/>
      </w:r>
      <w:r>
        <w:rPr>
          <w:rStyle w:val="45"/>
          <w:rFonts w:ascii="微软雅黑" w:hAnsi="微软雅黑" w:eastAsia="仿宋"/>
          <w:sz w:val="28"/>
        </w:rPr>
        <w:t>2.2.3.1</w:t>
      </w:r>
      <w:r>
        <w:rPr>
          <w:rStyle w:val="45"/>
          <w:rFonts w:hint="eastAsia" w:ascii="微软雅黑" w:hAnsi="微软雅黑" w:eastAsia="仿宋"/>
          <w:sz w:val="28"/>
        </w:rPr>
        <w:t>业务流程</w:t>
      </w:r>
      <w:r>
        <w:rPr>
          <w:rFonts w:eastAsia="仿宋"/>
          <w:sz w:val="28"/>
        </w:rPr>
        <w:tab/>
      </w:r>
      <w:r>
        <w:rPr>
          <w:rFonts w:eastAsia="仿宋"/>
          <w:sz w:val="28"/>
        </w:rPr>
        <w:fldChar w:fldCharType="begin"/>
      </w:r>
      <w:r>
        <w:rPr>
          <w:rFonts w:eastAsia="仿宋"/>
          <w:sz w:val="28"/>
        </w:rPr>
        <w:instrText xml:space="preserve"> PAGEREF _Toc508831139 \h </w:instrText>
      </w:r>
      <w:r>
        <w:rPr>
          <w:rFonts w:eastAsia="仿宋"/>
          <w:sz w:val="28"/>
        </w:rPr>
        <w:fldChar w:fldCharType="separate"/>
      </w:r>
      <w:r>
        <w:rPr>
          <w:rFonts w:eastAsia="仿宋"/>
          <w:sz w:val="28"/>
        </w:rPr>
        <w:t>51</w:t>
      </w:r>
      <w:r>
        <w:rPr>
          <w:rFonts w:eastAsia="仿宋"/>
          <w:sz w:val="28"/>
        </w:rPr>
        <w:fldChar w:fldCharType="end"/>
      </w:r>
      <w:r>
        <w:rPr>
          <w:rFonts w:eastAsia="仿宋"/>
          <w:sz w:val="28"/>
        </w:rPr>
        <w:fldChar w:fldCharType="end"/>
      </w:r>
    </w:p>
    <w:p>
      <w:pPr>
        <w:pStyle w:val="27"/>
        <w:tabs>
          <w:tab w:val="right" w:leader="dot" w:pos="9912"/>
        </w:tabs>
        <w:rPr>
          <w:rFonts w:eastAsia="仿宋"/>
          <w:sz w:val="28"/>
          <w:szCs w:val="22"/>
        </w:rPr>
      </w:pPr>
      <w:r>
        <w:fldChar w:fldCharType="begin"/>
      </w:r>
      <w:r>
        <w:instrText xml:space="preserve"> HYPERLINK \l "_Toc508831140" </w:instrText>
      </w:r>
      <w:r>
        <w:fldChar w:fldCharType="separate"/>
      </w:r>
      <w:r>
        <w:rPr>
          <w:rStyle w:val="45"/>
          <w:rFonts w:ascii="微软雅黑" w:hAnsi="微软雅黑" w:eastAsia="仿宋"/>
          <w:sz w:val="28"/>
        </w:rPr>
        <w:t>2.2.3.2</w:t>
      </w:r>
      <w:r>
        <w:rPr>
          <w:rStyle w:val="45"/>
          <w:rFonts w:hint="eastAsia" w:ascii="微软雅黑" w:hAnsi="微软雅黑" w:eastAsia="仿宋"/>
          <w:sz w:val="28"/>
        </w:rPr>
        <w:t>功能模块</w:t>
      </w:r>
      <w:r>
        <w:rPr>
          <w:rFonts w:eastAsia="仿宋"/>
          <w:sz w:val="28"/>
        </w:rPr>
        <w:tab/>
      </w:r>
      <w:r>
        <w:rPr>
          <w:rFonts w:eastAsia="仿宋"/>
          <w:sz w:val="28"/>
        </w:rPr>
        <w:fldChar w:fldCharType="begin"/>
      </w:r>
      <w:r>
        <w:rPr>
          <w:rFonts w:eastAsia="仿宋"/>
          <w:sz w:val="28"/>
        </w:rPr>
        <w:instrText xml:space="preserve"> PAGEREF _Toc508831140 \h </w:instrText>
      </w:r>
      <w:r>
        <w:rPr>
          <w:rFonts w:eastAsia="仿宋"/>
          <w:sz w:val="28"/>
        </w:rPr>
        <w:fldChar w:fldCharType="separate"/>
      </w:r>
      <w:r>
        <w:rPr>
          <w:rFonts w:eastAsia="仿宋"/>
          <w:sz w:val="28"/>
        </w:rPr>
        <w:t>51</w:t>
      </w:r>
      <w:r>
        <w:rPr>
          <w:rFonts w:eastAsia="仿宋"/>
          <w:sz w:val="28"/>
        </w:rPr>
        <w:fldChar w:fldCharType="end"/>
      </w:r>
      <w:r>
        <w:rPr>
          <w:rFonts w:eastAsia="仿宋"/>
          <w:sz w:val="28"/>
        </w:rPr>
        <w:fldChar w:fldCharType="end"/>
      </w:r>
    </w:p>
    <w:p>
      <w:pPr>
        <w:pStyle w:val="20"/>
        <w:tabs>
          <w:tab w:val="right" w:leader="dot" w:pos="9912"/>
        </w:tabs>
        <w:rPr>
          <w:rFonts w:eastAsia="仿宋"/>
          <w:i w:val="0"/>
          <w:iCs w:val="0"/>
          <w:sz w:val="28"/>
          <w:szCs w:val="22"/>
        </w:rPr>
      </w:pPr>
      <w:r>
        <w:fldChar w:fldCharType="begin"/>
      </w:r>
      <w:r>
        <w:instrText xml:space="preserve"> HYPERLINK \l "_Toc508831141" </w:instrText>
      </w:r>
      <w:r>
        <w:fldChar w:fldCharType="separate"/>
      </w:r>
      <w:r>
        <w:rPr>
          <w:rStyle w:val="45"/>
          <w:rFonts w:ascii="微软雅黑" w:hAnsi="微软雅黑" w:eastAsia="仿宋" w:cs="微软雅黑"/>
          <w:i w:val="0"/>
          <w:sz w:val="28"/>
        </w:rPr>
        <w:t>2.2.4</w:t>
      </w:r>
      <w:r>
        <w:rPr>
          <w:rStyle w:val="45"/>
          <w:rFonts w:hint="eastAsia" w:ascii="微软雅黑" w:hAnsi="微软雅黑" w:eastAsia="仿宋" w:cs="微软雅黑"/>
          <w:i w:val="0"/>
          <w:sz w:val="28"/>
        </w:rPr>
        <w:t>工艺管理</w:t>
      </w:r>
      <w:r>
        <w:rPr>
          <w:rFonts w:eastAsia="仿宋"/>
          <w:i w:val="0"/>
          <w:sz w:val="28"/>
        </w:rPr>
        <w:tab/>
      </w:r>
      <w:r>
        <w:rPr>
          <w:rFonts w:eastAsia="仿宋"/>
          <w:i w:val="0"/>
          <w:sz w:val="28"/>
        </w:rPr>
        <w:fldChar w:fldCharType="begin"/>
      </w:r>
      <w:r>
        <w:rPr>
          <w:rFonts w:eastAsia="仿宋"/>
          <w:i w:val="0"/>
          <w:sz w:val="28"/>
        </w:rPr>
        <w:instrText xml:space="preserve"> PAGEREF _Toc508831141 \h </w:instrText>
      </w:r>
      <w:r>
        <w:rPr>
          <w:rFonts w:eastAsia="仿宋"/>
          <w:i w:val="0"/>
          <w:sz w:val="28"/>
        </w:rPr>
        <w:fldChar w:fldCharType="separate"/>
      </w:r>
      <w:r>
        <w:rPr>
          <w:rFonts w:eastAsia="仿宋"/>
          <w:i w:val="0"/>
          <w:sz w:val="28"/>
        </w:rPr>
        <w:t>56</w:t>
      </w:r>
      <w:r>
        <w:rPr>
          <w:rFonts w:eastAsia="仿宋"/>
          <w:i w:val="0"/>
          <w:sz w:val="28"/>
        </w:rPr>
        <w:fldChar w:fldCharType="end"/>
      </w:r>
      <w:r>
        <w:rPr>
          <w:rFonts w:eastAsia="仿宋"/>
          <w:i w:val="0"/>
          <w:sz w:val="28"/>
        </w:rPr>
        <w:fldChar w:fldCharType="end"/>
      </w:r>
    </w:p>
    <w:p>
      <w:pPr>
        <w:pStyle w:val="27"/>
        <w:tabs>
          <w:tab w:val="right" w:leader="dot" w:pos="9912"/>
        </w:tabs>
        <w:rPr>
          <w:rFonts w:eastAsia="仿宋"/>
          <w:sz w:val="28"/>
          <w:szCs w:val="22"/>
        </w:rPr>
      </w:pPr>
      <w:r>
        <w:fldChar w:fldCharType="begin"/>
      </w:r>
      <w:r>
        <w:instrText xml:space="preserve"> HYPERLINK \l "_Toc508831142" </w:instrText>
      </w:r>
      <w:r>
        <w:fldChar w:fldCharType="separate"/>
      </w:r>
      <w:r>
        <w:rPr>
          <w:rStyle w:val="45"/>
          <w:rFonts w:ascii="微软雅黑" w:hAnsi="微软雅黑" w:eastAsia="仿宋"/>
          <w:sz w:val="28"/>
        </w:rPr>
        <w:t>2.2.4.1</w:t>
      </w:r>
      <w:r>
        <w:rPr>
          <w:rStyle w:val="45"/>
          <w:rFonts w:hint="eastAsia" w:ascii="微软雅黑" w:hAnsi="微软雅黑" w:eastAsia="仿宋"/>
          <w:sz w:val="28"/>
        </w:rPr>
        <w:t>业务流程</w:t>
      </w:r>
      <w:r>
        <w:rPr>
          <w:rFonts w:eastAsia="仿宋"/>
          <w:sz w:val="28"/>
        </w:rPr>
        <w:tab/>
      </w:r>
      <w:r>
        <w:rPr>
          <w:rFonts w:eastAsia="仿宋"/>
          <w:sz w:val="28"/>
        </w:rPr>
        <w:fldChar w:fldCharType="begin"/>
      </w:r>
      <w:r>
        <w:rPr>
          <w:rFonts w:eastAsia="仿宋"/>
          <w:sz w:val="28"/>
        </w:rPr>
        <w:instrText xml:space="preserve"> PAGEREF _Toc508831142 \h </w:instrText>
      </w:r>
      <w:r>
        <w:rPr>
          <w:rFonts w:eastAsia="仿宋"/>
          <w:sz w:val="28"/>
        </w:rPr>
        <w:fldChar w:fldCharType="separate"/>
      </w:r>
      <w:r>
        <w:rPr>
          <w:rFonts w:eastAsia="仿宋"/>
          <w:sz w:val="28"/>
        </w:rPr>
        <w:t>56</w:t>
      </w:r>
      <w:r>
        <w:rPr>
          <w:rFonts w:eastAsia="仿宋"/>
          <w:sz w:val="28"/>
        </w:rPr>
        <w:fldChar w:fldCharType="end"/>
      </w:r>
      <w:r>
        <w:rPr>
          <w:rFonts w:eastAsia="仿宋"/>
          <w:sz w:val="28"/>
        </w:rPr>
        <w:fldChar w:fldCharType="end"/>
      </w:r>
    </w:p>
    <w:p>
      <w:pPr>
        <w:pStyle w:val="27"/>
        <w:tabs>
          <w:tab w:val="right" w:leader="dot" w:pos="9912"/>
        </w:tabs>
        <w:rPr>
          <w:rFonts w:eastAsia="仿宋"/>
          <w:sz w:val="28"/>
          <w:szCs w:val="22"/>
        </w:rPr>
      </w:pPr>
      <w:r>
        <w:fldChar w:fldCharType="begin"/>
      </w:r>
      <w:r>
        <w:instrText xml:space="preserve"> HYPERLINK \l "_Toc508831143" </w:instrText>
      </w:r>
      <w:r>
        <w:fldChar w:fldCharType="separate"/>
      </w:r>
      <w:r>
        <w:rPr>
          <w:rStyle w:val="45"/>
          <w:rFonts w:ascii="微软雅黑" w:hAnsi="微软雅黑" w:eastAsia="仿宋"/>
          <w:sz w:val="28"/>
        </w:rPr>
        <w:t>2.2.4.2</w:t>
      </w:r>
      <w:r>
        <w:rPr>
          <w:rStyle w:val="45"/>
          <w:rFonts w:hint="eastAsia" w:ascii="微软雅黑" w:hAnsi="微软雅黑" w:eastAsia="仿宋"/>
          <w:sz w:val="28"/>
        </w:rPr>
        <w:t>功能模块</w:t>
      </w:r>
      <w:r>
        <w:rPr>
          <w:rFonts w:eastAsia="仿宋"/>
          <w:sz w:val="28"/>
        </w:rPr>
        <w:tab/>
      </w:r>
      <w:r>
        <w:rPr>
          <w:rFonts w:eastAsia="仿宋"/>
          <w:sz w:val="28"/>
        </w:rPr>
        <w:fldChar w:fldCharType="begin"/>
      </w:r>
      <w:r>
        <w:rPr>
          <w:rFonts w:eastAsia="仿宋"/>
          <w:sz w:val="28"/>
        </w:rPr>
        <w:instrText xml:space="preserve"> PAGEREF _Toc508831143 \h </w:instrText>
      </w:r>
      <w:r>
        <w:rPr>
          <w:rFonts w:eastAsia="仿宋"/>
          <w:sz w:val="28"/>
        </w:rPr>
        <w:fldChar w:fldCharType="separate"/>
      </w:r>
      <w:r>
        <w:rPr>
          <w:rFonts w:eastAsia="仿宋"/>
          <w:sz w:val="28"/>
        </w:rPr>
        <w:t>57</w:t>
      </w:r>
      <w:r>
        <w:rPr>
          <w:rFonts w:eastAsia="仿宋"/>
          <w:sz w:val="28"/>
        </w:rPr>
        <w:fldChar w:fldCharType="end"/>
      </w:r>
      <w:r>
        <w:rPr>
          <w:rFonts w:eastAsia="仿宋"/>
          <w:sz w:val="28"/>
        </w:rPr>
        <w:fldChar w:fldCharType="end"/>
      </w:r>
    </w:p>
    <w:p>
      <w:pPr>
        <w:pStyle w:val="20"/>
        <w:tabs>
          <w:tab w:val="right" w:leader="dot" w:pos="9912"/>
        </w:tabs>
        <w:rPr>
          <w:rFonts w:eastAsia="仿宋"/>
          <w:i w:val="0"/>
          <w:iCs w:val="0"/>
          <w:sz w:val="28"/>
          <w:szCs w:val="22"/>
        </w:rPr>
      </w:pPr>
      <w:r>
        <w:fldChar w:fldCharType="begin"/>
      </w:r>
      <w:r>
        <w:instrText xml:space="preserve"> HYPERLINK \l "_Toc508831144" </w:instrText>
      </w:r>
      <w:r>
        <w:fldChar w:fldCharType="separate"/>
      </w:r>
      <w:r>
        <w:rPr>
          <w:rStyle w:val="45"/>
          <w:rFonts w:ascii="微软雅黑" w:hAnsi="微软雅黑" w:eastAsia="仿宋" w:cs="微软雅黑"/>
          <w:i w:val="0"/>
          <w:sz w:val="28"/>
        </w:rPr>
        <w:t>2.2.5</w:t>
      </w:r>
      <w:r>
        <w:rPr>
          <w:rStyle w:val="45"/>
          <w:rFonts w:hint="eastAsia" w:ascii="微软雅黑" w:hAnsi="微软雅黑" w:eastAsia="仿宋" w:cs="微软雅黑"/>
          <w:i w:val="0"/>
          <w:sz w:val="28"/>
        </w:rPr>
        <w:t>物料需求计划管理</w:t>
      </w:r>
      <w:r>
        <w:rPr>
          <w:rFonts w:eastAsia="仿宋"/>
          <w:i w:val="0"/>
          <w:sz w:val="28"/>
        </w:rPr>
        <w:tab/>
      </w:r>
      <w:r>
        <w:rPr>
          <w:rFonts w:eastAsia="仿宋"/>
          <w:i w:val="0"/>
          <w:sz w:val="28"/>
        </w:rPr>
        <w:fldChar w:fldCharType="begin"/>
      </w:r>
      <w:r>
        <w:rPr>
          <w:rFonts w:eastAsia="仿宋"/>
          <w:i w:val="0"/>
          <w:sz w:val="28"/>
        </w:rPr>
        <w:instrText xml:space="preserve"> PAGEREF _Toc508831144 \h </w:instrText>
      </w:r>
      <w:r>
        <w:rPr>
          <w:rFonts w:eastAsia="仿宋"/>
          <w:i w:val="0"/>
          <w:sz w:val="28"/>
        </w:rPr>
        <w:fldChar w:fldCharType="separate"/>
      </w:r>
      <w:r>
        <w:rPr>
          <w:rFonts w:eastAsia="仿宋"/>
          <w:i w:val="0"/>
          <w:sz w:val="28"/>
        </w:rPr>
        <w:t>58</w:t>
      </w:r>
      <w:r>
        <w:rPr>
          <w:rFonts w:eastAsia="仿宋"/>
          <w:i w:val="0"/>
          <w:sz w:val="28"/>
        </w:rPr>
        <w:fldChar w:fldCharType="end"/>
      </w:r>
      <w:r>
        <w:rPr>
          <w:rFonts w:eastAsia="仿宋"/>
          <w:i w:val="0"/>
          <w:sz w:val="28"/>
        </w:rPr>
        <w:fldChar w:fldCharType="end"/>
      </w:r>
    </w:p>
    <w:p>
      <w:pPr>
        <w:pStyle w:val="27"/>
        <w:tabs>
          <w:tab w:val="right" w:leader="dot" w:pos="9912"/>
        </w:tabs>
        <w:rPr>
          <w:rFonts w:eastAsia="仿宋"/>
          <w:sz w:val="28"/>
          <w:szCs w:val="22"/>
        </w:rPr>
      </w:pPr>
      <w:r>
        <w:fldChar w:fldCharType="begin"/>
      </w:r>
      <w:r>
        <w:instrText xml:space="preserve"> HYPERLINK \l "_Toc508831145" </w:instrText>
      </w:r>
      <w:r>
        <w:fldChar w:fldCharType="separate"/>
      </w:r>
      <w:r>
        <w:rPr>
          <w:rStyle w:val="45"/>
          <w:rFonts w:ascii="微软雅黑" w:hAnsi="微软雅黑" w:eastAsia="仿宋"/>
          <w:sz w:val="28"/>
        </w:rPr>
        <w:t>2.2.5.1</w:t>
      </w:r>
      <w:r>
        <w:rPr>
          <w:rStyle w:val="45"/>
          <w:rFonts w:hint="eastAsia" w:ascii="微软雅黑" w:hAnsi="微软雅黑" w:eastAsia="仿宋"/>
          <w:sz w:val="28"/>
        </w:rPr>
        <w:t>业务流程</w:t>
      </w:r>
      <w:r>
        <w:rPr>
          <w:rFonts w:eastAsia="仿宋"/>
          <w:sz w:val="28"/>
        </w:rPr>
        <w:tab/>
      </w:r>
      <w:r>
        <w:rPr>
          <w:rFonts w:eastAsia="仿宋"/>
          <w:sz w:val="28"/>
        </w:rPr>
        <w:fldChar w:fldCharType="begin"/>
      </w:r>
      <w:r>
        <w:rPr>
          <w:rFonts w:eastAsia="仿宋"/>
          <w:sz w:val="28"/>
        </w:rPr>
        <w:instrText xml:space="preserve"> PAGEREF _Toc508831145 \h </w:instrText>
      </w:r>
      <w:r>
        <w:rPr>
          <w:rFonts w:eastAsia="仿宋"/>
          <w:sz w:val="28"/>
        </w:rPr>
        <w:fldChar w:fldCharType="separate"/>
      </w:r>
      <w:r>
        <w:rPr>
          <w:rFonts w:eastAsia="仿宋"/>
          <w:sz w:val="28"/>
        </w:rPr>
        <w:t>58</w:t>
      </w:r>
      <w:r>
        <w:rPr>
          <w:rFonts w:eastAsia="仿宋"/>
          <w:sz w:val="28"/>
        </w:rPr>
        <w:fldChar w:fldCharType="end"/>
      </w:r>
      <w:r>
        <w:rPr>
          <w:rFonts w:eastAsia="仿宋"/>
          <w:sz w:val="28"/>
        </w:rPr>
        <w:fldChar w:fldCharType="end"/>
      </w:r>
    </w:p>
    <w:p>
      <w:pPr>
        <w:pStyle w:val="27"/>
        <w:tabs>
          <w:tab w:val="right" w:leader="dot" w:pos="9912"/>
        </w:tabs>
        <w:rPr>
          <w:rFonts w:eastAsia="仿宋"/>
          <w:sz w:val="28"/>
          <w:szCs w:val="22"/>
        </w:rPr>
      </w:pPr>
      <w:r>
        <w:fldChar w:fldCharType="begin"/>
      </w:r>
      <w:r>
        <w:instrText xml:space="preserve"> HYPERLINK \l "_Toc508831146" </w:instrText>
      </w:r>
      <w:r>
        <w:fldChar w:fldCharType="separate"/>
      </w:r>
      <w:r>
        <w:rPr>
          <w:rStyle w:val="45"/>
          <w:rFonts w:ascii="微软雅黑" w:hAnsi="微软雅黑" w:eastAsia="仿宋"/>
          <w:sz w:val="28"/>
        </w:rPr>
        <w:t>2.2.5.2</w:t>
      </w:r>
      <w:r>
        <w:rPr>
          <w:rStyle w:val="45"/>
          <w:rFonts w:hint="eastAsia" w:ascii="微软雅黑" w:hAnsi="微软雅黑" w:eastAsia="仿宋"/>
          <w:sz w:val="28"/>
        </w:rPr>
        <w:t>功能模块</w:t>
      </w:r>
      <w:r>
        <w:rPr>
          <w:rFonts w:eastAsia="仿宋"/>
          <w:sz w:val="28"/>
        </w:rPr>
        <w:tab/>
      </w:r>
      <w:r>
        <w:rPr>
          <w:rFonts w:eastAsia="仿宋"/>
          <w:sz w:val="28"/>
        </w:rPr>
        <w:fldChar w:fldCharType="begin"/>
      </w:r>
      <w:r>
        <w:rPr>
          <w:rFonts w:eastAsia="仿宋"/>
          <w:sz w:val="28"/>
        </w:rPr>
        <w:instrText xml:space="preserve"> PAGEREF _Toc508831146 \h </w:instrText>
      </w:r>
      <w:r>
        <w:rPr>
          <w:rFonts w:eastAsia="仿宋"/>
          <w:sz w:val="28"/>
        </w:rPr>
        <w:fldChar w:fldCharType="separate"/>
      </w:r>
      <w:r>
        <w:rPr>
          <w:rFonts w:eastAsia="仿宋"/>
          <w:sz w:val="28"/>
        </w:rPr>
        <w:t>59</w:t>
      </w:r>
      <w:r>
        <w:rPr>
          <w:rFonts w:eastAsia="仿宋"/>
          <w:sz w:val="28"/>
        </w:rPr>
        <w:fldChar w:fldCharType="end"/>
      </w:r>
      <w:r>
        <w:rPr>
          <w:rFonts w:eastAsia="仿宋"/>
          <w:sz w:val="28"/>
        </w:rPr>
        <w:fldChar w:fldCharType="end"/>
      </w:r>
    </w:p>
    <w:p>
      <w:pPr>
        <w:pStyle w:val="20"/>
        <w:tabs>
          <w:tab w:val="right" w:leader="dot" w:pos="9912"/>
        </w:tabs>
        <w:rPr>
          <w:rFonts w:eastAsia="仿宋"/>
          <w:i w:val="0"/>
          <w:iCs w:val="0"/>
          <w:sz w:val="28"/>
          <w:szCs w:val="22"/>
        </w:rPr>
      </w:pPr>
      <w:r>
        <w:fldChar w:fldCharType="begin"/>
      </w:r>
      <w:r>
        <w:instrText xml:space="preserve"> HYPERLINK \l "_Toc508831147" </w:instrText>
      </w:r>
      <w:r>
        <w:fldChar w:fldCharType="separate"/>
      </w:r>
      <w:r>
        <w:rPr>
          <w:rStyle w:val="45"/>
          <w:rFonts w:ascii="微软雅黑" w:hAnsi="微软雅黑" w:eastAsia="仿宋" w:cs="微软雅黑"/>
          <w:i w:val="0"/>
          <w:sz w:val="28"/>
        </w:rPr>
        <w:t>2.2.6</w:t>
      </w:r>
      <w:r>
        <w:rPr>
          <w:rStyle w:val="45"/>
          <w:rFonts w:hint="eastAsia" w:ascii="微软雅黑" w:hAnsi="微软雅黑" w:eastAsia="仿宋" w:cs="微软雅黑"/>
          <w:i w:val="0"/>
          <w:sz w:val="28"/>
        </w:rPr>
        <w:t>采购管理</w:t>
      </w:r>
      <w:r>
        <w:rPr>
          <w:rFonts w:eastAsia="仿宋"/>
          <w:i w:val="0"/>
          <w:sz w:val="28"/>
        </w:rPr>
        <w:tab/>
      </w:r>
      <w:r>
        <w:rPr>
          <w:rFonts w:eastAsia="仿宋"/>
          <w:i w:val="0"/>
          <w:sz w:val="28"/>
        </w:rPr>
        <w:fldChar w:fldCharType="begin"/>
      </w:r>
      <w:r>
        <w:rPr>
          <w:rFonts w:eastAsia="仿宋"/>
          <w:i w:val="0"/>
          <w:sz w:val="28"/>
        </w:rPr>
        <w:instrText xml:space="preserve"> PAGEREF _Toc508831147 \h </w:instrText>
      </w:r>
      <w:r>
        <w:rPr>
          <w:rFonts w:eastAsia="仿宋"/>
          <w:i w:val="0"/>
          <w:sz w:val="28"/>
        </w:rPr>
        <w:fldChar w:fldCharType="separate"/>
      </w:r>
      <w:r>
        <w:rPr>
          <w:rFonts w:eastAsia="仿宋"/>
          <w:i w:val="0"/>
          <w:sz w:val="28"/>
        </w:rPr>
        <w:t>61</w:t>
      </w:r>
      <w:r>
        <w:rPr>
          <w:rFonts w:eastAsia="仿宋"/>
          <w:i w:val="0"/>
          <w:sz w:val="28"/>
        </w:rPr>
        <w:fldChar w:fldCharType="end"/>
      </w:r>
      <w:r>
        <w:rPr>
          <w:rFonts w:eastAsia="仿宋"/>
          <w:i w:val="0"/>
          <w:sz w:val="28"/>
        </w:rPr>
        <w:fldChar w:fldCharType="end"/>
      </w:r>
    </w:p>
    <w:p>
      <w:pPr>
        <w:pStyle w:val="27"/>
        <w:tabs>
          <w:tab w:val="right" w:leader="dot" w:pos="9912"/>
        </w:tabs>
        <w:rPr>
          <w:rFonts w:eastAsia="仿宋"/>
          <w:sz w:val="28"/>
          <w:szCs w:val="22"/>
        </w:rPr>
      </w:pPr>
      <w:r>
        <w:fldChar w:fldCharType="begin"/>
      </w:r>
      <w:r>
        <w:instrText xml:space="preserve"> HYPERLINK \l "_Toc508831148" </w:instrText>
      </w:r>
      <w:r>
        <w:fldChar w:fldCharType="separate"/>
      </w:r>
      <w:r>
        <w:rPr>
          <w:rStyle w:val="45"/>
          <w:rFonts w:ascii="微软雅黑" w:hAnsi="微软雅黑" w:eastAsia="仿宋"/>
          <w:sz w:val="28"/>
        </w:rPr>
        <w:t>2.2.6.1</w:t>
      </w:r>
      <w:r>
        <w:rPr>
          <w:rStyle w:val="45"/>
          <w:rFonts w:hint="eastAsia" w:ascii="微软雅黑" w:hAnsi="微软雅黑" w:eastAsia="仿宋"/>
          <w:sz w:val="28"/>
        </w:rPr>
        <w:t>业务流程</w:t>
      </w:r>
      <w:r>
        <w:rPr>
          <w:rFonts w:eastAsia="仿宋"/>
          <w:sz w:val="28"/>
        </w:rPr>
        <w:tab/>
      </w:r>
      <w:r>
        <w:rPr>
          <w:rFonts w:eastAsia="仿宋"/>
          <w:sz w:val="28"/>
        </w:rPr>
        <w:fldChar w:fldCharType="begin"/>
      </w:r>
      <w:r>
        <w:rPr>
          <w:rFonts w:eastAsia="仿宋"/>
          <w:sz w:val="28"/>
        </w:rPr>
        <w:instrText xml:space="preserve"> PAGEREF _Toc508831148 \h </w:instrText>
      </w:r>
      <w:r>
        <w:rPr>
          <w:rFonts w:eastAsia="仿宋"/>
          <w:sz w:val="28"/>
        </w:rPr>
        <w:fldChar w:fldCharType="separate"/>
      </w:r>
      <w:r>
        <w:rPr>
          <w:rFonts w:eastAsia="仿宋"/>
          <w:sz w:val="28"/>
        </w:rPr>
        <w:t>61</w:t>
      </w:r>
      <w:r>
        <w:rPr>
          <w:rFonts w:eastAsia="仿宋"/>
          <w:sz w:val="28"/>
        </w:rPr>
        <w:fldChar w:fldCharType="end"/>
      </w:r>
      <w:r>
        <w:rPr>
          <w:rFonts w:eastAsia="仿宋"/>
          <w:sz w:val="28"/>
        </w:rPr>
        <w:fldChar w:fldCharType="end"/>
      </w:r>
    </w:p>
    <w:p>
      <w:pPr>
        <w:pStyle w:val="27"/>
        <w:tabs>
          <w:tab w:val="right" w:leader="dot" w:pos="9912"/>
        </w:tabs>
        <w:rPr>
          <w:rFonts w:eastAsia="仿宋"/>
          <w:sz w:val="28"/>
          <w:szCs w:val="22"/>
        </w:rPr>
      </w:pPr>
      <w:r>
        <w:fldChar w:fldCharType="begin"/>
      </w:r>
      <w:r>
        <w:instrText xml:space="preserve"> HYPERLINK \l "_Toc508831149" </w:instrText>
      </w:r>
      <w:r>
        <w:fldChar w:fldCharType="separate"/>
      </w:r>
      <w:r>
        <w:rPr>
          <w:rStyle w:val="45"/>
          <w:rFonts w:ascii="微软雅黑" w:hAnsi="微软雅黑" w:eastAsia="仿宋"/>
          <w:sz w:val="28"/>
        </w:rPr>
        <w:t>2.2.6.2</w:t>
      </w:r>
      <w:r>
        <w:rPr>
          <w:rStyle w:val="45"/>
          <w:rFonts w:hint="eastAsia" w:ascii="微软雅黑" w:hAnsi="微软雅黑" w:eastAsia="仿宋"/>
          <w:sz w:val="28"/>
        </w:rPr>
        <w:t>功能模块</w:t>
      </w:r>
      <w:r>
        <w:rPr>
          <w:rFonts w:eastAsia="仿宋"/>
          <w:sz w:val="28"/>
        </w:rPr>
        <w:tab/>
      </w:r>
      <w:r>
        <w:rPr>
          <w:rFonts w:eastAsia="仿宋"/>
          <w:sz w:val="28"/>
        </w:rPr>
        <w:fldChar w:fldCharType="begin"/>
      </w:r>
      <w:r>
        <w:rPr>
          <w:rFonts w:eastAsia="仿宋"/>
          <w:sz w:val="28"/>
        </w:rPr>
        <w:instrText xml:space="preserve"> PAGEREF _Toc508831149 \h </w:instrText>
      </w:r>
      <w:r>
        <w:rPr>
          <w:rFonts w:eastAsia="仿宋"/>
          <w:sz w:val="28"/>
        </w:rPr>
        <w:fldChar w:fldCharType="separate"/>
      </w:r>
      <w:r>
        <w:rPr>
          <w:rFonts w:eastAsia="仿宋"/>
          <w:sz w:val="28"/>
        </w:rPr>
        <w:t>66</w:t>
      </w:r>
      <w:r>
        <w:rPr>
          <w:rFonts w:eastAsia="仿宋"/>
          <w:sz w:val="28"/>
        </w:rPr>
        <w:fldChar w:fldCharType="end"/>
      </w:r>
      <w:r>
        <w:rPr>
          <w:rFonts w:eastAsia="仿宋"/>
          <w:sz w:val="28"/>
        </w:rPr>
        <w:fldChar w:fldCharType="end"/>
      </w:r>
    </w:p>
    <w:p>
      <w:pPr>
        <w:pStyle w:val="20"/>
        <w:tabs>
          <w:tab w:val="right" w:leader="dot" w:pos="9912"/>
        </w:tabs>
        <w:rPr>
          <w:rFonts w:eastAsia="仿宋"/>
          <w:i w:val="0"/>
          <w:iCs w:val="0"/>
          <w:sz w:val="28"/>
          <w:szCs w:val="22"/>
        </w:rPr>
      </w:pPr>
      <w:r>
        <w:fldChar w:fldCharType="begin"/>
      </w:r>
      <w:r>
        <w:instrText xml:space="preserve"> HYPERLINK \l "_Toc508831150" </w:instrText>
      </w:r>
      <w:r>
        <w:fldChar w:fldCharType="separate"/>
      </w:r>
      <w:r>
        <w:rPr>
          <w:rStyle w:val="45"/>
          <w:rFonts w:ascii="微软雅黑" w:hAnsi="微软雅黑" w:eastAsia="仿宋"/>
          <w:i w:val="0"/>
          <w:sz w:val="28"/>
          <w:lang w:val="zh-CN"/>
        </w:rPr>
        <w:t>2.2.7</w:t>
      </w:r>
      <w:r>
        <w:rPr>
          <w:rStyle w:val="45"/>
          <w:rFonts w:hint="eastAsia" w:ascii="微软雅黑" w:hAnsi="微软雅黑" w:eastAsia="仿宋"/>
          <w:i w:val="0"/>
          <w:sz w:val="28"/>
          <w:lang w:val="zh-CN"/>
        </w:rPr>
        <w:t>生产计划管理</w:t>
      </w:r>
      <w:r>
        <w:rPr>
          <w:rFonts w:eastAsia="仿宋"/>
          <w:i w:val="0"/>
          <w:sz w:val="28"/>
        </w:rPr>
        <w:tab/>
      </w:r>
      <w:r>
        <w:rPr>
          <w:rFonts w:eastAsia="仿宋"/>
          <w:i w:val="0"/>
          <w:sz w:val="28"/>
        </w:rPr>
        <w:fldChar w:fldCharType="begin"/>
      </w:r>
      <w:r>
        <w:rPr>
          <w:rFonts w:eastAsia="仿宋"/>
          <w:i w:val="0"/>
          <w:sz w:val="28"/>
        </w:rPr>
        <w:instrText xml:space="preserve"> PAGEREF _Toc508831150 \h </w:instrText>
      </w:r>
      <w:r>
        <w:rPr>
          <w:rFonts w:eastAsia="仿宋"/>
          <w:i w:val="0"/>
          <w:sz w:val="28"/>
        </w:rPr>
        <w:fldChar w:fldCharType="separate"/>
      </w:r>
      <w:r>
        <w:rPr>
          <w:rFonts w:eastAsia="仿宋"/>
          <w:i w:val="0"/>
          <w:sz w:val="28"/>
        </w:rPr>
        <w:t>77</w:t>
      </w:r>
      <w:r>
        <w:rPr>
          <w:rFonts w:eastAsia="仿宋"/>
          <w:i w:val="0"/>
          <w:sz w:val="28"/>
        </w:rPr>
        <w:fldChar w:fldCharType="end"/>
      </w:r>
      <w:r>
        <w:rPr>
          <w:rFonts w:eastAsia="仿宋"/>
          <w:i w:val="0"/>
          <w:sz w:val="28"/>
        </w:rPr>
        <w:fldChar w:fldCharType="end"/>
      </w:r>
    </w:p>
    <w:p>
      <w:pPr>
        <w:pStyle w:val="27"/>
        <w:tabs>
          <w:tab w:val="right" w:leader="dot" w:pos="9912"/>
        </w:tabs>
        <w:rPr>
          <w:rFonts w:eastAsia="仿宋"/>
          <w:sz w:val="28"/>
          <w:szCs w:val="22"/>
        </w:rPr>
      </w:pPr>
      <w:r>
        <w:fldChar w:fldCharType="begin"/>
      </w:r>
      <w:r>
        <w:instrText xml:space="preserve"> HYPERLINK \l "_Toc508831151" </w:instrText>
      </w:r>
      <w:r>
        <w:fldChar w:fldCharType="separate"/>
      </w:r>
      <w:r>
        <w:rPr>
          <w:rStyle w:val="45"/>
          <w:rFonts w:ascii="微软雅黑" w:hAnsi="微软雅黑" w:eastAsia="仿宋"/>
          <w:sz w:val="28"/>
        </w:rPr>
        <w:t>3.2.7.1</w:t>
      </w:r>
      <w:r>
        <w:rPr>
          <w:rStyle w:val="45"/>
          <w:rFonts w:hint="eastAsia" w:ascii="微软雅黑" w:hAnsi="微软雅黑" w:eastAsia="仿宋"/>
          <w:sz w:val="28"/>
        </w:rPr>
        <w:t>业务流程</w:t>
      </w:r>
      <w:r>
        <w:rPr>
          <w:rFonts w:eastAsia="仿宋"/>
          <w:sz w:val="28"/>
        </w:rPr>
        <w:tab/>
      </w:r>
      <w:r>
        <w:rPr>
          <w:rFonts w:eastAsia="仿宋"/>
          <w:sz w:val="28"/>
        </w:rPr>
        <w:fldChar w:fldCharType="begin"/>
      </w:r>
      <w:r>
        <w:rPr>
          <w:rFonts w:eastAsia="仿宋"/>
          <w:sz w:val="28"/>
        </w:rPr>
        <w:instrText xml:space="preserve"> PAGEREF _Toc508831151 \h </w:instrText>
      </w:r>
      <w:r>
        <w:rPr>
          <w:rFonts w:eastAsia="仿宋"/>
          <w:sz w:val="28"/>
        </w:rPr>
        <w:fldChar w:fldCharType="separate"/>
      </w:r>
      <w:r>
        <w:rPr>
          <w:rFonts w:eastAsia="仿宋"/>
          <w:sz w:val="28"/>
        </w:rPr>
        <w:t>77</w:t>
      </w:r>
      <w:r>
        <w:rPr>
          <w:rFonts w:eastAsia="仿宋"/>
          <w:sz w:val="28"/>
        </w:rPr>
        <w:fldChar w:fldCharType="end"/>
      </w:r>
      <w:r>
        <w:rPr>
          <w:rFonts w:eastAsia="仿宋"/>
          <w:sz w:val="28"/>
        </w:rPr>
        <w:fldChar w:fldCharType="end"/>
      </w:r>
    </w:p>
    <w:p>
      <w:pPr>
        <w:pStyle w:val="27"/>
        <w:tabs>
          <w:tab w:val="right" w:leader="dot" w:pos="9912"/>
        </w:tabs>
        <w:rPr>
          <w:rFonts w:eastAsia="仿宋"/>
          <w:sz w:val="28"/>
          <w:szCs w:val="22"/>
        </w:rPr>
      </w:pPr>
      <w:r>
        <w:fldChar w:fldCharType="begin"/>
      </w:r>
      <w:r>
        <w:instrText xml:space="preserve"> HYPERLINK \l "_Toc508831152" </w:instrText>
      </w:r>
      <w:r>
        <w:fldChar w:fldCharType="separate"/>
      </w:r>
      <w:r>
        <w:rPr>
          <w:rStyle w:val="45"/>
          <w:rFonts w:ascii="微软雅黑" w:hAnsi="微软雅黑" w:eastAsia="仿宋"/>
          <w:sz w:val="28"/>
        </w:rPr>
        <w:t>3.2.7.2</w:t>
      </w:r>
      <w:r>
        <w:rPr>
          <w:rStyle w:val="45"/>
          <w:rFonts w:hint="eastAsia" w:ascii="微软雅黑" w:hAnsi="微软雅黑" w:eastAsia="仿宋"/>
          <w:sz w:val="28"/>
        </w:rPr>
        <w:t>功能模块</w:t>
      </w:r>
      <w:r>
        <w:rPr>
          <w:rFonts w:eastAsia="仿宋"/>
          <w:sz w:val="28"/>
        </w:rPr>
        <w:tab/>
      </w:r>
      <w:r>
        <w:rPr>
          <w:rFonts w:eastAsia="仿宋"/>
          <w:sz w:val="28"/>
        </w:rPr>
        <w:fldChar w:fldCharType="begin"/>
      </w:r>
      <w:r>
        <w:rPr>
          <w:rFonts w:eastAsia="仿宋"/>
          <w:sz w:val="28"/>
        </w:rPr>
        <w:instrText xml:space="preserve"> PAGEREF _Toc508831152 \h </w:instrText>
      </w:r>
      <w:r>
        <w:rPr>
          <w:rFonts w:eastAsia="仿宋"/>
          <w:sz w:val="28"/>
        </w:rPr>
        <w:fldChar w:fldCharType="separate"/>
      </w:r>
      <w:r>
        <w:rPr>
          <w:rFonts w:eastAsia="仿宋"/>
          <w:sz w:val="28"/>
        </w:rPr>
        <w:t>80</w:t>
      </w:r>
      <w:r>
        <w:rPr>
          <w:rFonts w:eastAsia="仿宋"/>
          <w:sz w:val="28"/>
        </w:rPr>
        <w:fldChar w:fldCharType="end"/>
      </w:r>
      <w:r>
        <w:rPr>
          <w:rFonts w:eastAsia="仿宋"/>
          <w:sz w:val="28"/>
        </w:rPr>
        <w:fldChar w:fldCharType="end"/>
      </w:r>
    </w:p>
    <w:p>
      <w:pPr>
        <w:pStyle w:val="20"/>
        <w:tabs>
          <w:tab w:val="right" w:leader="dot" w:pos="9912"/>
        </w:tabs>
        <w:rPr>
          <w:rFonts w:eastAsia="仿宋"/>
          <w:i w:val="0"/>
          <w:iCs w:val="0"/>
          <w:sz w:val="28"/>
          <w:szCs w:val="22"/>
        </w:rPr>
      </w:pPr>
      <w:r>
        <w:fldChar w:fldCharType="begin"/>
      </w:r>
      <w:r>
        <w:instrText xml:space="preserve"> HYPERLINK \l "_Toc508831153" </w:instrText>
      </w:r>
      <w:r>
        <w:fldChar w:fldCharType="separate"/>
      </w:r>
      <w:r>
        <w:rPr>
          <w:rStyle w:val="45"/>
          <w:rFonts w:ascii="微软雅黑" w:hAnsi="微软雅黑" w:eastAsia="仿宋"/>
          <w:i w:val="0"/>
          <w:sz w:val="28"/>
          <w:lang w:val="zh-CN"/>
        </w:rPr>
        <w:t>2.2.8</w:t>
      </w:r>
      <w:r>
        <w:rPr>
          <w:rStyle w:val="45"/>
          <w:rFonts w:hint="eastAsia" w:ascii="微软雅黑" w:hAnsi="微软雅黑" w:eastAsia="仿宋"/>
          <w:i w:val="0"/>
          <w:sz w:val="28"/>
          <w:lang w:val="zh-CN"/>
        </w:rPr>
        <w:t>生产制造管理</w:t>
      </w:r>
      <w:r>
        <w:rPr>
          <w:rFonts w:eastAsia="仿宋"/>
          <w:i w:val="0"/>
          <w:sz w:val="28"/>
        </w:rPr>
        <w:tab/>
      </w:r>
      <w:r>
        <w:rPr>
          <w:rFonts w:eastAsia="仿宋"/>
          <w:i w:val="0"/>
          <w:sz w:val="28"/>
        </w:rPr>
        <w:fldChar w:fldCharType="begin"/>
      </w:r>
      <w:r>
        <w:rPr>
          <w:rFonts w:eastAsia="仿宋"/>
          <w:i w:val="0"/>
          <w:sz w:val="28"/>
        </w:rPr>
        <w:instrText xml:space="preserve"> PAGEREF _Toc508831153 \h </w:instrText>
      </w:r>
      <w:r>
        <w:rPr>
          <w:rFonts w:eastAsia="仿宋"/>
          <w:i w:val="0"/>
          <w:sz w:val="28"/>
        </w:rPr>
        <w:fldChar w:fldCharType="separate"/>
      </w:r>
      <w:r>
        <w:rPr>
          <w:rFonts w:eastAsia="仿宋"/>
          <w:i w:val="0"/>
          <w:sz w:val="28"/>
        </w:rPr>
        <w:t>85</w:t>
      </w:r>
      <w:r>
        <w:rPr>
          <w:rFonts w:eastAsia="仿宋"/>
          <w:i w:val="0"/>
          <w:sz w:val="28"/>
        </w:rPr>
        <w:fldChar w:fldCharType="end"/>
      </w:r>
      <w:r>
        <w:rPr>
          <w:rFonts w:eastAsia="仿宋"/>
          <w:i w:val="0"/>
          <w:sz w:val="28"/>
        </w:rPr>
        <w:fldChar w:fldCharType="end"/>
      </w:r>
    </w:p>
    <w:p>
      <w:pPr>
        <w:pStyle w:val="27"/>
        <w:tabs>
          <w:tab w:val="right" w:leader="dot" w:pos="9912"/>
        </w:tabs>
        <w:rPr>
          <w:rFonts w:eastAsia="仿宋"/>
          <w:sz w:val="28"/>
          <w:szCs w:val="22"/>
        </w:rPr>
      </w:pPr>
      <w:r>
        <w:fldChar w:fldCharType="begin"/>
      </w:r>
      <w:r>
        <w:instrText xml:space="preserve"> HYPERLINK \l "_Toc508831154" </w:instrText>
      </w:r>
      <w:r>
        <w:fldChar w:fldCharType="separate"/>
      </w:r>
      <w:r>
        <w:rPr>
          <w:rStyle w:val="45"/>
          <w:rFonts w:ascii="微软雅黑" w:hAnsi="微软雅黑" w:eastAsia="仿宋"/>
          <w:sz w:val="28"/>
        </w:rPr>
        <w:t>2.2.8.1</w:t>
      </w:r>
      <w:r>
        <w:rPr>
          <w:rStyle w:val="45"/>
          <w:rFonts w:hint="eastAsia" w:ascii="微软雅黑" w:hAnsi="微软雅黑" w:eastAsia="仿宋"/>
          <w:sz w:val="28"/>
        </w:rPr>
        <w:t>业务流程</w:t>
      </w:r>
      <w:r>
        <w:rPr>
          <w:rFonts w:eastAsia="仿宋"/>
          <w:sz w:val="28"/>
        </w:rPr>
        <w:tab/>
      </w:r>
      <w:r>
        <w:rPr>
          <w:rFonts w:eastAsia="仿宋"/>
          <w:sz w:val="28"/>
        </w:rPr>
        <w:fldChar w:fldCharType="begin"/>
      </w:r>
      <w:r>
        <w:rPr>
          <w:rFonts w:eastAsia="仿宋"/>
          <w:sz w:val="28"/>
        </w:rPr>
        <w:instrText xml:space="preserve"> PAGEREF _Toc508831154 \h </w:instrText>
      </w:r>
      <w:r>
        <w:rPr>
          <w:rFonts w:eastAsia="仿宋"/>
          <w:sz w:val="28"/>
        </w:rPr>
        <w:fldChar w:fldCharType="separate"/>
      </w:r>
      <w:r>
        <w:rPr>
          <w:rFonts w:eastAsia="仿宋"/>
          <w:sz w:val="28"/>
        </w:rPr>
        <w:t>85</w:t>
      </w:r>
      <w:r>
        <w:rPr>
          <w:rFonts w:eastAsia="仿宋"/>
          <w:sz w:val="28"/>
        </w:rPr>
        <w:fldChar w:fldCharType="end"/>
      </w:r>
      <w:r>
        <w:rPr>
          <w:rFonts w:eastAsia="仿宋"/>
          <w:sz w:val="28"/>
        </w:rPr>
        <w:fldChar w:fldCharType="end"/>
      </w:r>
    </w:p>
    <w:p>
      <w:pPr>
        <w:pStyle w:val="27"/>
        <w:tabs>
          <w:tab w:val="right" w:leader="dot" w:pos="9912"/>
        </w:tabs>
        <w:rPr>
          <w:rFonts w:eastAsia="仿宋"/>
          <w:sz w:val="28"/>
          <w:szCs w:val="22"/>
        </w:rPr>
      </w:pPr>
      <w:r>
        <w:fldChar w:fldCharType="begin"/>
      </w:r>
      <w:r>
        <w:instrText xml:space="preserve"> HYPERLINK \l "_Toc508831155" </w:instrText>
      </w:r>
      <w:r>
        <w:fldChar w:fldCharType="separate"/>
      </w:r>
      <w:r>
        <w:rPr>
          <w:rStyle w:val="45"/>
          <w:rFonts w:ascii="微软雅黑" w:hAnsi="微软雅黑" w:eastAsia="仿宋"/>
          <w:sz w:val="28"/>
        </w:rPr>
        <w:t>2.2.8.2</w:t>
      </w:r>
      <w:r>
        <w:rPr>
          <w:rStyle w:val="45"/>
          <w:rFonts w:hint="eastAsia" w:ascii="微软雅黑" w:hAnsi="微软雅黑" w:eastAsia="仿宋"/>
          <w:sz w:val="28"/>
        </w:rPr>
        <w:t>功能模块</w:t>
      </w:r>
      <w:r>
        <w:rPr>
          <w:rFonts w:eastAsia="仿宋"/>
          <w:sz w:val="28"/>
        </w:rPr>
        <w:tab/>
      </w:r>
      <w:r>
        <w:rPr>
          <w:rFonts w:eastAsia="仿宋"/>
          <w:sz w:val="28"/>
        </w:rPr>
        <w:fldChar w:fldCharType="begin"/>
      </w:r>
      <w:r>
        <w:rPr>
          <w:rFonts w:eastAsia="仿宋"/>
          <w:sz w:val="28"/>
        </w:rPr>
        <w:instrText xml:space="preserve"> PAGEREF _Toc508831155 \h </w:instrText>
      </w:r>
      <w:r>
        <w:rPr>
          <w:rFonts w:eastAsia="仿宋"/>
          <w:sz w:val="28"/>
        </w:rPr>
        <w:fldChar w:fldCharType="separate"/>
      </w:r>
      <w:r>
        <w:rPr>
          <w:rFonts w:eastAsia="仿宋"/>
          <w:sz w:val="28"/>
        </w:rPr>
        <w:t>86</w:t>
      </w:r>
      <w:r>
        <w:rPr>
          <w:rFonts w:eastAsia="仿宋"/>
          <w:sz w:val="28"/>
        </w:rPr>
        <w:fldChar w:fldCharType="end"/>
      </w:r>
      <w:r>
        <w:rPr>
          <w:rFonts w:eastAsia="仿宋"/>
          <w:sz w:val="28"/>
        </w:rPr>
        <w:fldChar w:fldCharType="end"/>
      </w:r>
    </w:p>
    <w:p>
      <w:pPr>
        <w:pStyle w:val="20"/>
        <w:tabs>
          <w:tab w:val="right" w:leader="dot" w:pos="9912"/>
        </w:tabs>
        <w:rPr>
          <w:rFonts w:eastAsia="仿宋"/>
          <w:i w:val="0"/>
          <w:iCs w:val="0"/>
          <w:sz w:val="28"/>
          <w:szCs w:val="22"/>
        </w:rPr>
      </w:pPr>
      <w:r>
        <w:fldChar w:fldCharType="begin"/>
      </w:r>
      <w:r>
        <w:instrText xml:space="preserve"> HYPERLINK \l "_Toc508831156" </w:instrText>
      </w:r>
      <w:r>
        <w:fldChar w:fldCharType="separate"/>
      </w:r>
      <w:r>
        <w:rPr>
          <w:rStyle w:val="45"/>
          <w:rFonts w:ascii="微软雅黑" w:hAnsi="微软雅黑" w:eastAsia="仿宋"/>
          <w:i w:val="0"/>
          <w:sz w:val="28"/>
          <w:lang w:val="zh-CN"/>
        </w:rPr>
        <w:t>2.2.9</w:t>
      </w:r>
      <w:r>
        <w:rPr>
          <w:rStyle w:val="45"/>
          <w:rFonts w:hint="eastAsia" w:ascii="微软雅黑" w:hAnsi="微软雅黑" w:eastAsia="仿宋"/>
          <w:i w:val="0"/>
          <w:sz w:val="28"/>
          <w:lang w:val="zh-CN"/>
        </w:rPr>
        <w:t>质量管理</w:t>
      </w:r>
      <w:r>
        <w:rPr>
          <w:rFonts w:eastAsia="仿宋"/>
          <w:i w:val="0"/>
          <w:sz w:val="28"/>
        </w:rPr>
        <w:tab/>
      </w:r>
      <w:r>
        <w:rPr>
          <w:rFonts w:eastAsia="仿宋"/>
          <w:i w:val="0"/>
          <w:sz w:val="28"/>
        </w:rPr>
        <w:fldChar w:fldCharType="begin"/>
      </w:r>
      <w:r>
        <w:rPr>
          <w:rFonts w:eastAsia="仿宋"/>
          <w:i w:val="0"/>
          <w:sz w:val="28"/>
        </w:rPr>
        <w:instrText xml:space="preserve"> PAGEREF _Toc508831156 \h </w:instrText>
      </w:r>
      <w:r>
        <w:rPr>
          <w:rFonts w:eastAsia="仿宋"/>
          <w:i w:val="0"/>
          <w:sz w:val="28"/>
        </w:rPr>
        <w:fldChar w:fldCharType="separate"/>
      </w:r>
      <w:r>
        <w:rPr>
          <w:rFonts w:eastAsia="仿宋"/>
          <w:i w:val="0"/>
          <w:sz w:val="28"/>
        </w:rPr>
        <w:t>91</w:t>
      </w:r>
      <w:r>
        <w:rPr>
          <w:rFonts w:eastAsia="仿宋"/>
          <w:i w:val="0"/>
          <w:sz w:val="28"/>
        </w:rPr>
        <w:fldChar w:fldCharType="end"/>
      </w:r>
      <w:r>
        <w:rPr>
          <w:rFonts w:eastAsia="仿宋"/>
          <w:i w:val="0"/>
          <w:sz w:val="28"/>
        </w:rPr>
        <w:fldChar w:fldCharType="end"/>
      </w:r>
    </w:p>
    <w:p>
      <w:pPr>
        <w:pStyle w:val="27"/>
        <w:tabs>
          <w:tab w:val="right" w:leader="dot" w:pos="9912"/>
        </w:tabs>
        <w:rPr>
          <w:rFonts w:eastAsia="仿宋"/>
          <w:sz w:val="28"/>
          <w:szCs w:val="22"/>
        </w:rPr>
      </w:pPr>
      <w:r>
        <w:fldChar w:fldCharType="begin"/>
      </w:r>
      <w:r>
        <w:instrText xml:space="preserve"> HYPERLINK \l "_Toc508831157" </w:instrText>
      </w:r>
      <w:r>
        <w:fldChar w:fldCharType="separate"/>
      </w:r>
      <w:r>
        <w:rPr>
          <w:rStyle w:val="45"/>
          <w:rFonts w:ascii="微软雅黑" w:hAnsi="微软雅黑" w:eastAsia="仿宋"/>
          <w:sz w:val="28"/>
        </w:rPr>
        <w:t>2.2.9.1</w:t>
      </w:r>
      <w:r>
        <w:rPr>
          <w:rStyle w:val="45"/>
          <w:rFonts w:hint="eastAsia" w:ascii="微软雅黑" w:hAnsi="微软雅黑" w:eastAsia="仿宋"/>
          <w:sz w:val="28"/>
        </w:rPr>
        <w:t>业务流程</w:t>
      </w:r>
      <w:r>
        <w:rPr>
          <w:rFonts w:eastAsia="仿宋"/>
          <w:sz w:val="28"/>
        </w:rPr>
        <w:tab/>
      </w:r>
      <w:r>
        <w:rPr>
          <w:rFonts w:eastAsia="仿宋"/>
          <w:sz w:val="28"/>
        </w:rPr>
        <w:fldChar w:fldCharType="begin"/>
      </w:r>
      <w:r>
        <w:rPr>
          <w:rFonts w:eastAsia="仿宋"/>
          <w:sz w:val="28"/>
        </w:rPr>
        <w:instrText xml:space="preserve"> PAGEREF _Toc508831157 \h </w:instrText>
      </w:r>
      <w:r>
        <w:rPr>
          <w:rFonts w:eastAsia="仿宋"/>
          <w:sz w:val="28"/>
        </w:rPr>
        <w:fldChar w:fldCharType="separate"/>
      </w:r>
      <w:r>
        <w:rPr>
          <w:rFonts w:eastAsia="仿宋"/>
          <w:sz w:val="28"/>
        </w:rPr>
        <w:t>91</w:t>
      </w:r>
      <w:r>
        <w:rPr>
          <w:rFonts w:eastAsia="仿宋"/>
          <w:sz w:val="28"/>
        </w:rPr>
        <w:fldChar w:fldCharType="end"/>
      </w:r>
      <w:r>
        <w:rPr>
          <w:rFonts w:eastAsia="仿宋"/>
          <w:sz w:val="28"/>
        </w:rPr>
        <w:fldChar w:fldCharType="end"/>
      </w:r>
    </w:p>
    <w:p>
      <w:pPr>
        <w:pStyle w:val="27"/>
        <w:tabs>
          <w:tab w:val="right" w:leader="dot" w:pos="9912"/>
        </w:tabs>
        <w:rPr>
          <w:rFonts w:eastAsia="仿宋"/>
          <w:sz w:val="28"/>
          <w:szCs w:val="22"/>
        </w:rPr>
      </w:pPr>
      <w:r>
        <w:fldChar w:fldCharType="begin"/>
      </w:r>
      <w:r>
        <w:instrText xml:space="preserve"> HYPERLINK \l "_Toc508831158" </w:instrText>
      </w:r>
      <w:r>
        <w:fldChar w:fldCharType="separate"/>
      </w:r>
      <w:r>
        <w:rPr>
          <w:rStyle w:val="45"/>
          <w:rFonts w:ascii="微软雅黑" w:hAnsi="微软雅黑" w:eastAsia="仿宋"/>
          <w:sz w:val="28"/>
        </w:rPr>
        <w:t>2.2.9.2</w:t>
      </w:r>
      <w:r>
        <w:rPr>
          <w:rStyle w:val="45"/>
          <w:rFonts w:hint="eastAsia" w:ascii="微软雅黑" w:hAnsi="微软雅黑" w:eastAsia="仿宋"/>
          <w:sz w:val="28"/>
        </w:rPr>
        <w:t>功能模块</w:t>
      </w:r>
      <w:r>
        <w:rPr>
          <w:rFonts w:eastAsia="仿宋"/>
          <w:sz w:val="28"/>
        </w:rPr>
        <w:tab/>
      </w:r>
      <w:r>
        <w:rPr>
          <w:rFonts w:eastAsia="仿宋"/>
          <w:sz w:val="28"/>
        </w:rPr>
        <w:fldChar w:fldCharType="begin"/>
      </w:r>
      <w:r>
        <w:rPr>
          <w:rFonts w:eastAsia="仿宋"/>
          <w:sz w:val="28"/>
        </w:rPr>
        <w:instrText xml:space="preserve"> PAGEREF _Toc508831158 \h </w:instrText>
      </w:r>
      <w:r>
        <w:rPr>
          <w:rFonts w:eastAsia="仿宋"/>
          <w:sz w:val="28"/>
        </w:rPr>
        <w:fldChar w:fldCharType="separate"/>
      </w:r>
      <w:r>
        <w:rPr>
          <w:rFonts w:eastAsia="仿宋"/>
          <w:sz w:val="28"/>
        </w:rPr>
        <w:t>92</w:t>
      </w:r>
      <w:r>
        <w:rPr>
          <w:rFonts w:eastAsia="仿宋"/>
          <w:sz w:val="28"/>
        </w:rPr>
        <w:fldChar w:fldCharType="end"/>
      </w:r>
      <w:r>
        <w:rPr>
          <w:rFonts w:eastAsia="仿宋"/>
          <w:sz w:val="28"/>
        </w:rPr>
        <w:fldChar w:fldCharType="end"/>
      </w:r>
    </w:p>
    <w:p>
      <w:pPr>
        <w:pStyle w:val="20"/>
        <w:tabs>
          <w:tab w:val="right" w:leader="dot" w:pos="9912"/>
        </w:tabs>
        <w:rPr>
          <w:rFonts w:eastAsia="仿宋"/>
          <w:i w:val="0"/>
          <w:iCs w:val="0"/>
          <w:sz w:val="28"/>
          <w:szCs w:val="22"/>
        </w:rPr>
      </w:pPr>
      <w:r>
        <w:fldChar w:fldCharType="begin"/>
      </w:r>
      <w:r>
        <w:instrText xml:space="preserve"> HYPERLINK \l "_Toc508831159" </w:instrText>
      </w:r>
      <w:r>
        <w:fldChar w:fldCharType="separate"/>
      </w:r>
      <w:r>
        <w:rPr>
          <w:rStyle w:val="45"/>
          <w:rFonts w:ascii="微软雅黑" w:hAnsi="微软雅黑" w:eastAsia="仿宋"/>
          <w:i w:val="0"/>
          <w:sz w:val="28"/>
        </w:rPr>
        <w:t>2.2.10</w:t>
      </w:r>
      <w:r>
        <w:rPr>
          <w:rStyle w:val="45"/>
          <w:rFonts w:hint="eastAsia" w:ascii="微软雅黑" w:hAnsi="微软雅黑" w:eastAsia="仿宋"/>
          <w:i w:val="0"/>
          <w:sz w:val="28"/>
        </w:rPr>
        <w:t>仓储管理</w:t>
      </w:r>
      <w:r>
        <w:rPr>
          <w:rFonts w:eastAsia="仿宋"/>
          <w:i w:val="0"/>
          <w:sz w:val="28"/>
        </w:rPr>
        <w:tab/>
      </w:r>
      <w:r>
        <w:rPr>
          <w:rFonts w:eastAsia="仿宋"/>
          <w:i w:val="0"/>
          <w:sz w:val="28"/>
        </w:rPr>
        <w:fldChar w:fldCharType="begin"/>
      </w:r>
      <w:r>
        <w:rPr>
          <w:rFonts w:eastAsia="仿宋"/>
          <w:i w:val="0"/>
          <w:sz w:val="28"/>
        </w:rPr>
        <w:instrText xml:space="preserve"> PAGEREF _Toc508831159 \h </w:instrText>
      </w:r>
      <w:r>
        <w:rPr>
          <w:rFonts w:eastAsia="仿宋"/>
          <w:i w:val="0"/>
          <w:sz w:val="28"/>
        </w:rPr>
        <w:fldChar w:fldCharType="separate"/>
      </w:r>
      <w:r>
        <w:rPr>
          <w:rFonts w:eastAsia="仿宋"/>
          <w:i w:val="0"/>
          <w:sz w:val="28"/>
        </w:rPr>
        <w:t>99</w:t>
      </w:r>
      <w:r>
        <w:rPr>
          <w:rFonts w:eastAsia="仿宋"/>
          <w:i w:val="0"/>
          <w:sz w:val="28"/>
        </w:rPr>
        <w:fldChar w:fldCharType="end"/>
      </w:r>
      <w:r>
        <w:rPr>
          <w:rFonts w:eastAsia="仿宋"/>
          <w:i w:val="0"/>
          <w:sz w:val="28"/>
        </w:rPr>
        <w:fldChar w:fldCharType="end"/>
      </w:r>
    </w:p>
    <w:p>
      <w:pPr>
        <w:pStyle w:val="27"/>
        <w:tabs>
          <w:tab w:val="right" w:leader="dot" w:pos="9912"/>
        </w:tabs>
        <w:rPr>
          <w:rFonts w:eastAsia="仿宋"/>
          <w:sz w:val="28"/>
          <w:szCs w:val="22"/>
        </w:rPr>
      </w:pPr>
      <w:r>
        <w:fldChar w:fldCharType="begin"/>
      </w:r>
      <w:r>
        <w:instrText xml:space="preserve"> HYPERLINK \l "_Toc508831160" </w:instrText>
      </w:r>
      <w:r>
        <w:fldChar w:fldCharType="separate"/>
      </w:r>
      <w:r>
        <w:rPr>
          <w:rStyle w:val="45"/>
          <w:rFonts w:ascii="微软雅黑" w:hAnsi="微软雅黑" w:eastAsia="仿宋"/>
          <w:sz w:val="28"/>
        </w:rPr>
        <w:t>2.2.10.1</w:t>
      </w:r>
      <w:r>
        <w:rPr>
          <w:rStyle w:val="45"/>
          <w:rFonts w:hint="eastAsia" w:ascii="微软雅黑" w:hAnsi="微软雅黑" w:eastAsia="仿宋"/>
          <w:sz w:val="28"/>
        </w:rPr>
        <w:t>业务流程</w:t>
      </w:r>
      <w:r>
        <w:rPr>
          <w:rFonts w:eastAsia="仿宋"/>
          <w:sz w:val="28"/>
        </w:rPr>
        <w:tab/>
      </w:r>
      <w:r>
        <w:rPr>
          <w:rFonts w:eastAsia="仿宋"/>
          <w:sz w:val="28"/>
        </w:rPr>
        <w:fldChar w:fldCharType="begin"/>
      </w:r>
      <w:r>
        <w:rPr>
          <w:rFonts w:eastAsia="仿宋"/>
          <w:sz w:val="28"/>
        </w:rPr>
        <w:instrText xml:space="preserve"> PAGEREF _Toc508831160 \h </w:instrText>
      </w:r>
      <w:r>
        <w:rPr>
          <w:rFonts w:eastAsia="仿宋"/>
          <w:sz w:val="28"/>
        </w:rPr>
        <w:fldChar w:fldCharType="separate"/>
      </w:r>
      <w:r>
        <w:rPr>
          <w:rFonts w:eastAsia="仿宋"/>
          <w:sz w:val="28"/>
        </w:rPr>
        <w:t>99</w:t>
      </w:r>
      <w:r>
        <w:rPr>
          <w:rFonts w:eastAsia="仿宋"/>
          <w:sz w:val="28"/>
        </w:rPr>
        <w:fldChar w:fldCharType="end"/>
      </w:r>
      <w:r>
        <w:rPr>
          <w:rFonts w:eastAsia="仿宋"/>
          <w:sz w:val="28"/>
        </w:rPr>
        <w:fldChar w:fldCharType="end"/>
      </w:r>
    </w:p>
    <w:p>
      <w:pPr>
        <w:pStyle w:val="27"/>
        <w:tabs>
          <w:tab w:val="right" w:leader="dot" w:pos="9912"/>
        </w:tabs>
        <w:rPr>
          <w:rFonts w:eastAsia="仿宋"/>
          <w:sz w:val="28"/>
          <w:szCs w:val="22"/>
        </w:rPr>
      </w:pPr>
      <w:r>
        <w:fldChar w:fldCharType="begin"/>
      </w:r>
      <w:r>
        <w:instrText xml:space="preserve"> HYPERLINK \l "_Toc508831161" </w:instrText>
      </w:r>
      <w:r>
        <w:fldChar w:fldCharType="separate"/>
      </w:r>
      <w:r>
        <w:rPr>
          <w:rStyle w:val="45"/>
          <w:rFonts w:ascii="微软雅黑" w:hAnsi="微软雅黑" w:eastAsia="仿宋"/>
          <w:sz w:val="28"/>
        </w:rPr>
        <w:t>2.2.10.2</w:t>
      </w:r>
      <w:r>
        <w:rPr>
          <w:rStyle w:val="45"/>
          <w:rFonts w:hint="eastAsia" w:ascii="微软雅黑" w:hAnsi="微软雅黑" w:eastAsia="仿宋"/>
          <w:sz w:val="28"/>
        </w:rPr>
        <w:t>功能模块</w:t>
      </w:r>
      <w:r>
        <w:rPr>
          <w:rFonts w:eastAsia="仿宋"/>
          <w:sz w:val="28"/>
        </w:rPr>
        <w:tab/>
      </w:r>
      <w:r>
        <w:rPr>
          <w:rFonts w:eastAsia="仿宋"/>
          <w:sz w:val="28"/>
        </w:rPr>
        <w:fldChar w:fldCharType="begin"/>
      </w:r>
      <w:r>
        <w:rPr>
          <w:rFonts w:eastAsia="仿宋"/>
          <w:sz w:val="28"/>
        </w:rPr>
        <w:instrText xml:space="preserve"> PAGEREF _Toc508831161 \h </w:instrText>
      </w:r>
      <w:r>
        <w:rPr>
          <w:rFonts w:eastAsia="仿宋"/>
          <w:sz w:val="28"/>
        </w:rPr>
        <w:fldChar w:fldCharType="separate"/>
      </w:r>
      <w:r>
        <w:rPr>
          <w:rFonts w:eastAsia="仿宋"/>
          <w:sz w:val="28"/>
        </w:rPr>
        <w:t>103</w:t>
      </w:r>
      <w:r>
        <w:rPr>
          <w:rFonts w:eastAsia="仿宋"/>
          <w:sz w:val="28"/>
        </w:rPr>
        <w:fldChar w:fldCharType="end"/>
      </w:r>
      <w:r>
        <w:rPr>
          <w:rFonts w:eastAsia="仿宋"/>
          <w:sz w:val="28"/>
        </w:rPr>
        <w:fldChar w:fldCharType="end"/>
      </w:r>
    </w:p>
    <w:p>
      <w:pPr>
        <w:pStyle w:val="20"/>
        <w:tabs>
          <w:tab w:val="right" w:leader="dot" w:pos="9912"/>
        </w:tabs>
        <w:rPr>
          <w:rFonts w:eastAsia="仿宋"/>
          <w:i w:val="0"/>
          <w:iCs w:val="0"/>
          <w:sz w:val="28"/>
          <w:szCs w:val="22"/>
        </w:rPr>
      </w:pPr>
      <w:r>
        <w:fldChar w:fldCharType="begin"/>
      </w:r>
      <w:r>
        <w:instrText xml:space="preserve"> HYPERLINK \l "_Toc508831162" </w:instrText>
      </w:r>
      <w:r>
        <w:fldChar w:fldCharType="separate"/>
      </w:r>
      <w:r>
        <w:rPr>
          <w:rStyle w:val="45"/>
          <w:rFonts w:ascii="微软雅黑" w:hAnsi="微软雅黑" w:eastAsia="仿宋" w:cs="微软雅黑"/>
          <w:i w:val="0"/>
          <w:sz w:val="28"/>
        </w:rPr>
        <w:t>2.2.11</w:t>
      </w:r>
      <w:r>
        <w:rPr>
          <w:rStyle w:val="45"/>
          <w:rFonts w:hint="eastAsia" w:ascii="微软雅黑" w:hAnsi="微软雅黑" w:eastAsia="仿宋" w:cs="微软雅黑"/>
          <w:i w:val="0"/>
          <w:sz w:val="28"/>
        </w:rPr>
        <w:t>成本核算管理</w:t>
      </w:r>
      <w:r>
        <w:rPr>
          <w:rFonts w:eastAsia="仿宋"/>
          <w:i w:val="0"/>
          <w:sz w:val="28"/>
        </w:rPr>
        <w:tab/>
      </w:r>
      <w:r>
        <w:rPr>
          <w:rFonts w:eastAsia="仿宋"/>
          <w:i w:val="0"/>
          <w:sz w:val="28"/>
        </w:rPr>
        <w:fldChar w:fldCharType="begin"/>
      </w:r>
      <w:r>
        <w:rPr>
          <w:rFonts w:eastAsia="仿宋"/>
          <w:i w:val="0"/>
          <w:sz w:val="28"/>
        </w:rPr>
        <w:instrText xml:space="preserve"> PAGEREF _Toc508831162 \h </w:instrText>
      </w:r>
      <w:r>
        <w:rPr>
          <w:rFonts w:eastAsia="仿宋"/>
          <w:i w:val="0"/>
          <w:sz w:val="28"/>
        </w:rPr>
        <w:fldChar w:fldCharType="separate"/>
      </w:r>
      <w:r>
        <w:rPr>
          <w:rFonts w:eastAsia="仿宋"/>
          <w:i w:val="0"/>
          <w:sz w:val="28"/>
        </w:rPr>
        <w:t>109</w:t>
      </w:r>
      <w:r>
        <w:rPr>
          <w:rFonts w:eastAsia="仿宋"/>
          <w:i w:val="0"/>
          <w:sz w:val="28"/>
        </w:rPr>
        <w:fldChar w:fldCharType="end"/>
      </w:r>
      <w:r>
        <w:rPr>
          <w:rFonts w:eastAsia="仿宋"/>
          <w:i w:val="0"/>
          <w:sz w:val="28"/>
        </w:rPr>
        <w:fldChar w:fldCharType="end"/>
      </w:r>
    </w:p>
    <w:p>
      <w:pPr>
        <w:pStyle w:val="27"/>
        <w:tabs>
          <w:tab w:val="right" w:leader="dot" w:pos="9912"/>
        </w:tabs>
        <w:rPr>
          <w:rFonts w:eastAsia="仿宋"/>
          <w:sz w:val="28"/>
          <w:szCs w:val="22"/>
        </w:rPr>
      </w:pPr>
      <w:r>
        <w:fldChar w:fldCharType="begin"/>
      </w:r>
      <w:r>
        <w:instrText xml:space="preserve"> HYPERLINK \l "_Toc508831163" </w:instrText>
      </w:r>
      <w:r>
        <w:fldChar w:fldCharType="separate"/>
      </w:r>
      <w:r>
        <w:rPr>
          <w:rStyle w:val="45"/>
          <w:rFonts w:ascii="微软雅黑" w:hAnsi="微软雅黑" w:eastAsia="仿宋"/>
          <w:sz w:val="28"/>
        </w:rPr>
        <w:t>2.2.11.1</w:t>
      </w:r>
      <w:r>
        <w:rPr>
          <w:rStyle w:val="45"/>
          <w:rFonts w:hint="eastAsia" w:ascii="微软雅黑" w:hAnsi="微软雅黑" w:eastAsia="仿宋"/>
          <w:sz w:val="28"/>
        </w:rPr>
        <w:t>业务流程</w:t>
      </w:r>
      <w:r>
        <w:rPr>
          <w:rFonts w:eastAsia="仿宋"/>
          <w:sz w:val="28"/>
        </w:rPr>
        <w:tab/>
      </w:r>
      <w:r>
        <w:rPr>
          <w:rFonts w:eastAsia="仿宋"/>
          <w:sz w:val="28"/>
        </w:rPr>
        <w:fldChar w:fldCharType="begin"/>
      </w:r>
      <w:r>
        <w:rPr>
          <w:rFonts w:eastAsia="仿宋"/>
          <w:sz w:val="28"/>
        </w:rPr>
        <w:instrText xml:space="preserve"> PAGEREF _Toc508831163 \h </w:instrText>
      </w:r>
      <w:r>
        <w:rPr>
          <w:rFonts w:eastAsia="仿宋"/>
          <w:sz w:val="28"/>
        </w:rPr>
        <w:fldChar w:fldCharType="separate"/>
      </w:r>
      <w:r>
        <w:rPr>
          <w:rFonts w:eastAsia="仿宋"/>
          <w:sz w:val="28"/>
        </w:rPr>
        <w:t>109</w:t>
      </w:r>
      <w:r>
        <w:rPr>
          <w:rFonts w:eastAsia="仿宋"/>
          <w:sz w:val="28"/>
        </w:rPr>
        <w:fldChar w:fldCharType="end"/>
      </w:r>
      <w:r>
        <w:rPr>
          <w:rFonts w:eastAsia="仿宋"/>
          <w:sz w:val="28"/>
        </w:rPr>
        <w:fldChar w:fldCharType="end"/>
      </w:r>
    </w:p>
    <w:p>
      <w:pPr>
        <w:pStyle w:val="27"/>
        <w:tabs>
          <w:tab w:val="right" w:leader="dot" w:pos="9912"/>
        </w:tabs>
        <w:rPr>
          <w:rFonts w:eastAsia="仿宋"/>
          <w:sz w:val="28"/>
          <w:szCs w:val="22"/>
        </w:rPr>
      </w:pPr>
      <w:r>
        <w:fldChar w:fldCharType="begin"/>
      </w:r>
      <w:r>
        <w:instrText xml:space="preserve"> HYPERLINK \l "_Toc508831164" </w:instrText>
      </w:r>
      <w:r>
        <w:fldChar w:fldCharType="separate"/>
      </w:r>
      <w:r>
        <w:rPr>
          <w:rStyle w:val="45"/>
          <w:rFonts w:ascii="微软雅黑" w:hAnsi="微软雅黑" w:eastAsia="仿宋"/>
          <w:sz w:val="28"/>
        </w:rPr>
        <w:t>2.2.11.2</w:t>
      </w:r>
      <w:r>
        <w:rPr>
          <w:rStyle w:val="45"/>
          <w:rFonts w:hint="eastAsia" w:ascii="微软雅黑" w:hAnsi="微软雅黑" w:eastAsia="仿宋"/>
          <w:sz w:val="28"/>
        </w:rPr>
        <w:t>功能模块</w:t>
      </w:r>
      <w:r>
        <w:rPr>
          <w:rFonts w:eastAsia="仿宋"/>
          <w:sz w:val="28"/>
        </w:rPr>
        <w:tab/>
      </w:r>
      <w:r>
        <w:rPr>
          <w:rFonts w:eastAsia="仿宋"/>
          <w:sz w:val="28"/>
        </w:rPr>
        <w:fldChar w:fldCharType="begin"/>
      </w:r>
      <w:r>
        <w:rPr>
          <w:rFonts w:eastAsia="仿宋"/>
          <w:sz w:val="28"/>
        </w:rPr>
        <w:instrText xml:space="preserve"> PAGEREF _Toc508831164 \h </w:instrText>
      </w:r>
      <w:r>
        <w:rPr>
          <w:rFonts w:eastAsia="仿宋"/>
          <w:sz w:val="28"/>
        </w:rPr>
        <w:fldChar w:fldCharType="separate"/>
      </w:r>
      <w:r>
        <w:rPr>
          <w:rFonts w:eastAsia="仿宋"/>
          <w:sz w:val="28"/>
        </w:rPr>
        <w:t>109</w:t>
      </w:r>
      <w:r>
        <w:rPr>
          <w:rFonts w:eastAsia="仿宋"/>
          <w:sz w:val="28"/>
        </w:rPr>
        <w:fldChar w:fldCharType="end"/>
      </w:r>
      <w:r>
        <w:rPr>
          <w:rFonts w:eastAsia="仿宋"/>
          <w:sz w:val="28"/>
        </w:rPr>
        <w:fldChar w:fldCharType="end"/>
      </w:r>
    </w:p>
    <w:p>
      <w:pPr>
        <w:pStyle w:val="26"/>
        <w:tabs>
          <w:tab w:val="right" w:leader="dot" w:pos="9912"/>
        </w:tabs>
        <w:rPr>
          <w:rFonts w:eastAsia="仿宋"/>
          <w:b w:val="0"/>
          <w:bCs w:val="0"/>
          <w:caps w:val="0"/>
          <w:sz w:val="28"/>
          <w:szCs w:val="22"/>
        </w:rPr>
      </w:pPr>
      <w:r>
        <w:fldChar w:fldCharType="begin"/>
      </w:r>
      <w:r>
        <w:instrText xml:space="preserve"> HYPERLINK \l "_Toc508831165" </w:instrText>
      </w:r>
      <w:r>
        <w:fldChar w:fldCharType="separate"/>
      </w:r>
      <w:r>
        <w:rPr>
          <w:rStyle w:val="45"/>
          <w:rFonts w:ascii="微软雅黑" w:hAnsi="微软雅黑" w:eastAsia="仿宋" w:cs="微软雅黑"/>
          <w:sz w:val="28"/>
        </w:rPr>
        <w:t>3.</w:t>
      </w:r>
      <w:r>
        <w:rPr>
          <w:rStyle w:val="45"/>
          <w:rFonts w:hint="eastAsia" w:ascii="微软雅黑" w:hAnsi="微软雅黑" w:eastAsia="仿宋" w:cs="微软雅黑"/>
          <w:sz w:val="28"/>
        </w:rPr>
        <w:t>整体计划</w:t>
      </w:r>
      <w:r>
        <w:rPr>
          <w:rFonts w:eastAsia="仿宋"/>
          <w:sz w:val="28"/>
        </w:rPr>
        <w:tab/>
      </w:r>
      <w:r>
        <w:rPr>
          <w:rFonts w:eastAsia="仿宋"/>
          <w:sz w:val="28"/>
        </w:rPr>
        <w:fldChar w:fldCharType="begin"/>
      </w:r>
      <w:r>
        <w:rPr>
          <w:rFonts w:eastAsia="仿宋"/>
          <w:sz w:val="28"/>
        </w:rPr>
        <w:instrText xml:space="preserve"> PAGEREF _Toc508831165 \h </w:instrText>
      </w:r>
      <w:r>
        <w:rPr>
          <w:rFonts w:eastAsia="仿宋"/>
          <w:sz w:val="28"/>
        </w:rPr>
        <w:fldChar w:fldCharType="separate"/>
      </w:r>
      <w:r>
        <w:rPr>
          <w:rFonts w:eastAsia="仿宋"/>
          <w:sz w:val="28"/>
        </w:rPr>
        <w:t>114</w:t>
      </w:r>
      <w:r>
        <w:rPr>
          <w:rFonts w:eastAsia="仿宋"/>
          <w:sz w:val="28"/>
        </w:rPr>
        <w:fldChar w:fldCharType="end"/>
      </w:r>
      <w:r>
        <w:rPr>
          <w:rFonts w:eastAsia="仿宋"/>
          <w:sz w:val="28"/>
        </w:rPr>
        <w:fldChar w:fldCharType="end"/>
      </w:r>
    </w:p>
    <w:p>
      <w:pPr>
        <w:pStyle w:val="26"/>
        <w:tabs>
          <w:tab w:val="right" w:leader="dot" w:pos="9912"/>
        </w:tabs>
        <w:rPr>
          <w:rFonts w:eastAsia="仿宋"/>
          <w:b w:val="0"/>
          <w:bCs w:val="0"/>
          <w:caps w:val="0"/>
          <w:sz w:val="28"/>
          <w:szCs w:val="22"/>
        </w:rPr>
      </w:pPr>
      <w:r>
        <w:fldChar w:fldCharType="begin"/>
      </w:r>
      <w:r>
        <w:instrText xml:space="preserve"> HYPERLINK \l "_Toc508831166" </w:instrText>
      </w:r>
      <w:r>
        <w:fldChar w:fldCharType="separate"/>
      </w:r>
      <w:r>
        <w:rPr>
          <w:rStyle w:val="45"/>
          <w:rFonts w:ascii="微软雅黑" w:hAnsi="微软雅黑" w:eastAsia="仿宋" w:cs="微软雅黑"/>
          <w:sz w:val="28"/>
        </w:rPr>
        <w:t>4.</w:t>
      </w:r>
      <w:r>
        <w:rPr>
          <w:rStyle w:val="45"/>
          <w:rFonts w:hint="eastAsia" w:ascii="微软雅黑" w:hAnsi="微软雅黑" w:eastAsia="仿宋" w:cs="微软雅黑"/>
          <w:sz w:val="28"/>
        </w:rPr>
        <w:t>方案确认</w:t>
      </w:r>
      <w:r>
        <w:rPr>
          <w:rFonts w:eastAsia="仿宋"/>
          <w:sz w:val="28"/>
        </w:rPr>
        <w:tab/>
      </w:r>
      <w:r>
        <w:rPr>
          <w:rFonts w:eastAsia="仿宋"/>
          <w:sz w:val="28"/>
        </w:rPr>
        <w:fldChar w:fldCharType="begin"/>
      </w:r>
      <w:r>
        <w:rPr>
          <w:rFonts w:eastAsia="仿宋"/>
          <w:sz w:val="28"/>
        </w:rPr>
        <w:instrText xml:space="preserve"> PAGEREF _Toc508831166 \h </w:instrText>
      </w:r>
      <w:r>
        <w:rPr>
          <w:rFonts w:eastAsia="仿宋"/>
          <w:sz w:val="28"/>
        </w:rPr>
        <w:fldChar w:fldCharType="separate"/>
      </w:r>
      <w:r>
        <w:rPr>
          <w:rFonts w:eastAsia="仿宋"/>
          <w:sz w:val="28"/>
        </w:rPr>
        <w:t>115</w:t>
      </w:r>
      <w:r>
        <w:rPr>
          <w:rFonts w:eastAsia="仿宋"/>
          <w:sz w:val="28"/>
        </w:rPr>
        <w:fldChar w:fldCharType="end"/>
      </w:r>
      <w:r>
        <w:rPr>
          <w:rFonts w:eastAsia="仿宋"/>
          <w:sz w:val="28"/>
        </w:rPr>
        <w:fldChar w:fldCharType="end"/>
      </w:r>
    </w:p>
    <w:p>
      <w:pPr>
        <w:spacing w:line="400" w:lineRule="exact"/>
        <w:rPr>
          <w:rFonts w:ascii="微软雅黑" w:hAnsi="微软雅黑" w:eastAsia="微软雅黑" w:cs="微软雅黑"/>
          <w:bCs/>
          <w:caps/>
          <w:szCs w:val="24"/>
        </w:rPr>
      </w:pPr>
      <w:r>
        <w:rPr>
          <w:rFonts w:hint="eastAsia" w:ascii="微软雅黑" w:hAnsi="微软雅黑" w:eastAsia="仿宋" w:cs="微软雅黑"/>
          <w:bCs/>
          <w:smallCaps/>
          <w:sz w:val="28"/>
          <w:szCs w:val="24"/>
        </w:rPr>
        <w:fldChar w:fldCharType="end"/>
      </w:r>
      <w:r>
        <w:rPr>
          <w:rFonts w:hint="eastAsia" w:ascii="微软雅黑" w:hAnsi="微软雅黑" w:eastAsia="仿宋" w:cs="微软雅黑"/>
          <w:bCs/>
          <w:caps/>
          <w:sz w:val="28"/>
          <w:szCs w:val="24"/>
        </w:rPr>
        <w:br w:type="page"/>
      </w:r>
    </w:p>
    <w:p>
      <w:pPr>
        <w:spacing w:line="400" w:lineRule="exact"/>
        <w:rPr>
          <w:rFonts w:ascii="微软雅黑" w:hAnsi="微软雅黑" w:eastAsia="微软雅黑" w:cs="微软雅黑"/>
          <w:bCs/>
          <w:caps/>
          <w:szCs w:val="24"/>
        </w:rPr>
      </w:pPr>
    </w:p>
    <w:p>
      <w:pPr>
        <w:spacing w:line="400" w:lineRule="exact"/>
        <w:rPr>
          <w:rFonts w:ascii="微软雅黑" w:hAnsi="微软雅黑" w:eastAsia="微软雅黑" w:cs="微软雅黑"/>
          <w:sz w:val="24"/>
          <w:szCs w:val="24"/>
        </w:rPr>
      </w:pPr>
    </w:p>
    <w:p>
      <w:pPr>
        <w:spacing w:beforeLines="50" w:afterLines="50" w:line="400" w:lineRule="exact"/>
        <w:rPr>
          <w:rFonts w:ascii="微软雅黑" w:hAnsi="微软雅黑" w:eastAsia="微软雅黑" w:cs="微软雅黑"/>
          <w:b/>
          <w:sz w:val="32"/>
          <w:szCs w:val="32"/>
          <w:lang w:val="en-AU"/>
        </w:rPr>
      </w:pPr>
      <w:bookmarkStart w:id="7" w:name="_Toc370581558"/>
      <w:bookmarkStart w:id="8" w:name="_Toc415957712"/>
      <w:bookmarkStart w:id="9" w:name="_Toc456559759"/>
      <w:bookmarkStart w:id="10" w:name="_Toc335748268"/>
      <w:bookmarkStart w:id="11" w:name="_Toc370679706"/>
      <w:bookmarkStart w:id="12" w:name="_Toc369526920"/>
      <w:bookmarkStart w:id="13" w:name="_Toc370591436"/>
      <w:bookmarkStart w:id="14" w:name="_Toc370592159"/>
      <w:bookmarkStart w:id="15" w:name="_Toc457241444"/>
      <w:bookmarkStart w:id="16" w:name="_Toc370590199"/>
      <w:bookmarkStart w:id="17" w:name="_Toc415958177"/>
      <w:bookmarkStart w:id="18" w:name="_Toc351552339"/>
      <w:bookmarkStart w:id="19" w:name="_Toc370817914"/>
      <w:bookmarkStart w:id="20" w:name="_Toc370592201"/>
      <w:bookmarkStart w:id="21" w:name="_Toc352662165"/>
      <w:bookmarkStart w:id="22" w:name="_Toc351552514"/>
      <w:bookmarkStart w:id="23" w:name="_Toc370592251"/>
      <w:r>
        <w:rPr>
          <w:rFonts w:hint="eastAsia" w:ascii="微软雅黑" w:hAnsi="微软雅黑" w:eastAsia="微软雅黑" w:cs="微软雅黑"/>
          <w:b/>
          <w:kern w:val="28"/>
          <w:sz w:val="32"/>
          <w:szCs w:val="32"/>
        </w:rPr>
        <w:t>文档控制</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bl>
      <w:tblPr>
        <w:tblStyle w:val="37"/>
        <w:tblW w:w="692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96" w:type="dxa"/>
          <w:bottom w:w="0" w:type="dxa"/>
          <w:right w:w="96" w:type="dxa"/>
        </w:tblCellMar>
      </w:tblPr>
      <w:tblGrid>
        <w:gridCol w:w="1339"/>
        <w:gridCol w:w="2278"/>
        <w:gridCol w:w="906"/>
        <w:gridCol w:w="24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blHeader/>
          <w:jc w:val="center"/>
        </w:trPr>
        <w:tc>
          <w:tcPr>
            <w:tcW w:w="1339" w:type="dxa"/>
            <w:tcBorders>
              <w:bottom w:val="nil"/>
              <w:right w:val="nil"/>
            </w:tcBorders>
            <w:shd w:val="pct10" w:color="auto" w:fill="auto"/>
          </w:tcPr>
          <w:p>
            <w:pPr>
              <w:pStyle w:val="66"/>
              <w:jc w:val="center"/>
              <w:rPr>
                <w:rFonts w:ascii="微软雅黑" w:hAnsi="微软雅黑" w:eastAsia="微软雅黑" w:cs="微软雅黑"/>
                <w:sz w:val="22"/>
              </w:rPr>
            </w:pPr>
            <w:r>
              <w:rPr>
                <w:rFonts w:hint="eastAsia" w:ascii="微软雅黑" w:hAnsi="微软雅黑" w:eastAsia="微软雅黑" w:cs="微软雅黑"/>
                <w:sz w:val="22"/>
              </w:rPr>
              <w:t>日期</w:t>
            </w:r>
          </w:p>
        </w:tc>
        <w:tc>
          <w:tcPr>
            <w:tcW w:w="2278" w:type="dxa"/>
            <w:tcBorders>
              <w:left w:val="nil"/>
              <w:bottom w:val="nil"/>
              <w:right w:val="nil"/>
            </w:tcBorders>
            <w:shd w:val="pct10" w:color="auto" w:fill="auto"/>
          </w:tcPr>
          <w:p>
            <w:pPr>
              <w:pStyle w:val="66"/>
              <w:jc w:val="center"/>
              <w:rPr>
                <w:rFonts w:ascii="微软雅黑" w:hAnsi="微软雅黑" w:eastAsia="微软雅黑" w:cs="微软雅黑"/>
                <w:sz w:val="22"/>
              </w:rPr>
            </w:pPr>
            <w:r>
              <w:rPr>
                <w:rFonts w:hint="eastAsia" w:ascii="微软雅黑" w:hAnsi="微软雅黑" w:eastAsia="微软雅黑" w:cs="微软雅黑"/>
                <w:sz w:val="22"/>
              </w:rPr>
              <w:t>作者</w:t>
            </w:r>
          </w:p>
        </w:tc>
        <w:tc>
          <w:tcPr>
            <w:tcW w:w="906" w:type="dxa"/>
            <w:tcBorders>
              <w:left w:val="nil"/>
              <w:bottom w:val="nil"/>
              <w:right w:val="nil"/>
            </w:tcBorders>
            <w:shd w:val="pct10" w:color="auto" w:fill="auto"/>
          </w:tcPr>
          <w:p>
            <w:pPr>
              <w:pStyle w:val="66"/>
              <w:jc w:val="center"/>
              <w:rPr>
                <w:rFonts w:ascii="微软雅黑" w:hAnsi="微软雅黑" w:eastAsia="微软雅黑" w:cs="微软雅黑"/>
                <w:sz w:val="22"/>
              </w:rPr>
            </w:pPr>
            <w:r>
              <w:rPr>
                <w:rFonts w:hint="eastAsia" w:ascii="微软雅黑" w:hAnsi="微软雅黑" w:eastAsia="微软雅黑" w:cs="微软雅黑"/>
                <w:sz w:val="22"/>
              </w:rPr>
              <w:t>版本</w:t>
            </w:r>
          </w:p>
        </w:tc>
        <w:tc>
          <w:tcPr>
            <w:tcW w:w="2406" w:type="dxa"/>
            <w:tcBorders>
              <w:left w:val="nil"/>
              <w:bottom w:val="nil"/>
            </w:tcBorders>
            <w:shd w:val="pct10" w:color="auto" w:fill="auto"/>
          </w:tcPr>
          <w:p>
            <w:pPr>
              <w:pStyle w:val="66"/>
              <w:jc w:val="center"/>
              <w:rPr>
                <w:rFonts w:ascii="微软雅黑" w:hAnsi="微软雅黑" w:eastAsia="微软雅黑" w:cs="微软雅黑"/>
                <w:sz w:val="22"/>
              </w:rPr>
            </w:pPr>
            <w:r>
              <w:rPr>
                <w:rFonts w:hint="eastAsia" w:ascii="微软雅黑" w:hAnsi="微软雅黑" w:eastAsia="微软雅黑" w:cs="微软雅黑"/>
                <w:sz w:val="22"/>
              </w:rPr>
              <w:t>修改参考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60" w:hRule="exact"/>
          <w:tblHeader/>
          <w:jc w:val="center"/>
        </w:trPr>
        <w:tc>
          <w:tcPr>
            <w:tcW w:w="1339" w:type="dxa"/>
            <w:tcBorders>
              <w:left w:val="nil"/>
              <w:right w:val="nil"/>
            </w:tcBorders>
            <w:shd w:val="pct50" w:color="auto" w:fill="auto"/>
          </w:tcPr>
          <w:p>
            <w:pPr>
              <w:pStyle w:val="67"/>
              <w:rPr>
                <w:rFonts w:ascii="微软雅黑" w:hAnsi="微软雅黑" w:eastAsia="微软雅黑" w:cs="微软雅黑"/>
                <w:sz w:val="8"/>
              </w:rPr>
            </w:pPr>
          </w:p>
        </w:tc>
        <w:tc>
          <w:tcPr>
            <w:tcW w:w="2278" w:type="dxa"/>
            <w:tcBorders>
              <w:left w:val="nil"/>
              <w:right w:val="nil"/>
            </w:tcBorders>
            <w:shd w:val="pct50" w:color="auto" w:fill="auto"/>
          </w:tcPr>
          <w:p>
            <w:pPr>
              <w:pStyle w:val="67"/>
              <w:rPr>
                <w:rFonts w:ascii="微软雅黑" w:hAnsi="微软雅黑" w:eastAsia="微软雅黑" w:cs="微软雅黑"/>
                <w:sz w:val="8"/>
              </w:rPr>
            </w:pPr>
          </w:p>
        </w:tc>
        <w:tc>
          <w:tcPr>
            <w:tcW w:w="906" w:type="dxa"/>
            <w:tcBorders>
              <w:left w:val="nil"/>
              <w:right w:val="nil"/>
            </w:tcBorders>
            <w:shd w:val="pct50" w:color="auto" w:fill="auto"/>
          </w:tcPr>
          <w:p>
            <w:pPr>
              <w:pStyle w:val="67"/>
              <w:rPr>
                <w:rFonts w:ascii="微软雅黑" w:hAnsi="微软雅黑" w:eastAsia="微软雅黑" w:cs="微软雅黑"/>
                <w:sz w:val="8"/>
              </w:rPr>
            </w:pPr>
          </w:p>
        </w:tc>
        <w:tc>
          <w:tcPr>
            <w:tcW w:w="2406" w:type="dxa"/>
            <w:tcBorders>
              <w:left w:val="nil"/>
              <w:right w:val="nil"/>
            </w:tcBorders>
            <w:shd w:val="pct50" w:color="auto" w:fill="auto"/>
          </w:tcPr>
          <w:p>
            <w:pPr>
              <w:pStyle w:val="67"/>
              <w:rPr>
                <w:rFonts w:ascii="微软雅黑" w:hAnsi="微软雅黑" w:eastAsia="微软雅黑" w:cs="微软雅黑"/>
                <w:sz w:val="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jc w:val="center"/>
        </w:trPr>
        <w:tc>
          <w:tcPr>
            <w:tcW w:w="1339" w:type="dxa"/>
            <w:vAlign w:val="top"/>
          </w:tcPr>
          <w:p>
            <w:pPr>
              <w:pStyle w:val="67"/>
              <w:rPr>
                <w:rFonts w:ascii="微软雅黑" w:hAnsi="微软雅黑" w:eastAsia="微软雅黑" w:cs="微软雅黑"/>
                <w:sz w:val="18"/>
              </w:rPr>
            </w:pPr>
            <w:r>
              <w:rPr>
                <w:rFonts w:hint="eastAsia" w:ascii="微软雅黑" w:hAnsi="微软雅黑" w:eastAsia="微软雅黑" w:cs="微软雅黑"/>
                <w:sz w:val="18"/>
              </w:rPr>
              <w:t>2018/0</w:t>
            </w:r>
            <w:r>
              <w:rPr>
                <w:rFonts w:hint="eastAsia" w:ascii="微软雅黑" w:hAnsi="微软雅黑" w:eastAsia="微软雅黑" w:cs="微软雅黑"/>
                <w:sz w:val="18"/>
                <w:lang w:val="en-US" w:eastAsia="zh-CN"/>
              </w:rPr>
              <w:t>3</w:t>
            </w:r>
            <w:r>
              <w:rPr>
                <w:rFonts w:hint="eastAsia" w:ascii="微软雅黑" w:hAnsi="微软雅黑" w:eastAsia="微软雅黑" w:cs="微软雅黑"/>
                <w:sz w:val="18"/>
              </w:rPr>
              <w:t>/</w:t>
            </w:r>
            <w:r>
              <w:rPr>
                <w:rFonts w:hint="eastAsia" w:ascii="微软雅黑" w:hAnsi="微软雅黑" w:eastAsia="微软雅黑" w:cs="微软雅黑"/>
                <w:sz w:val="18"/>
                <w:lang w:val="en-US" w:eastAsia="zh-CN"/>
              </w:rPr>
              <w:t>01</w:t>
            </w:r>
          </w:p>
        </w:tc>
        <w:tc>
          <w:tcPr>
            <w:tcW w:w="2278" w:type="dxa"/>
            <w:vAlign w:val="top"/>
          </w:tcPr>
          <w:p>
            <w:pPr>
              <w:rPr>
                <w:rFonts w:ascii="微软雅黑" w:hAnsi="微软雅黑" w:eastAsia="微软雅黑" w:cs="微软雅黑"/>
                <w:sz w:val="18"/>
              </w:rPr>
            </w:pPr>
            <w:r>
              <w:rPr>
                <w:rFonts w:hint="eastAsia" w:ascii="微软雅黑" w:hAnsi="微软雅黑" w:eastAsia="微软雅黑" w:cs="微软雅黑"/>
                <w:sz w:val="18"/>
                <w:lang w:eastAsia="zh-CN"/>
              </w:rPr>
              <w:t>北京XX科技</w:t>
            </w:r>
            <w:r>
              <w:rPr>
                <w:rFonts w:hint="eastAsia" w:ascii="微软雅黑" w:hAnsi="微软雅黑" w:eastAsia="微软雅黑" w:cs="微软雅黑"/>
                <w:sz w:val="18"/>
              </w:rPr>
              <w:t>有限公司</w:t>
            </w:r>
          </w:p>
        </w:tc>
        <w:tc>
          <w:tcPr>
            <w:tcW w:w="906" w:type="dxa"/>
            <w:vAlign w:val="top"/>
          </w:tcPr>
          <w:p>
            <w:pPr>
              <w:pStyle w:val="67"/>
              <w:rPr>
                <w:rFonts w:ascii="微软雅黑" w:hAnsi="微软雅黑" w:eastAsia="微软雅黑" w:cs="微软雅黑"/>
                <w:sz w:val="18"/>
              </w:rPr>
            </w:pPr>
            <w:r>
              <w:rPr>
                <w:rFonts w:hint="eastAsia" w:ascii="微软雅黑" w:hAnsi="微软雅黑" w:eastAsia="微软雅黑" w:cs="微软雅黑"/>
                <w:sz w:val="18"/>
                <w:lang w:eastAsia="zh-CN"/>
              </w:rPr>
              <w:t>V1.</w:t>
            </w:r>
            <w:r>
              <w:rPr>
                <w:rFonts w:hint="eastAsia" w:ascii="微软雅黑" w:hAnsi="微软雅黑" w:eastAsia="微软雅黑" w:cs="微软雅黑"/>
                <w:sz w:val="18"/>
                <w:lang w:val="en-US" w:eastAsia="zh-CN"/>
              </w:rPr>
              <w:t>0</w:t>
            </w:r>
          </w:p>
        </w:tc>
        <w:tc>
          <w:tcPr>
            <w:tcW w:w="2406" w:type="dxa"/>
            <w:vAlign w:val="top"/>
          </w:tcPr>
          <w:p>
            <w:pPr>
              <w:pStyle w:val="67"/>
              <w:rPr>
                <w:rFonts w:ascii="微软雅黑" w:hAnsi="微软雅黑" w:eastAsia="微软雅黑" w:cs="微软雅黑"/>
                <w:sz w:val="18"/>
              </w:rPr>
            </w:pPr>
            <w:r>
              <w:rPr>
                <w:rFonts w:hint="eastAsia" w:ascii="微软雅黑" w:hAnsi="微软雅黑" w:eastAsia="微软雅黑" w:cs="微软雅黑"/>
                <w:sz w:val="18"/>
              </w:rPr>
              <w:t>业务需求与</w:t>
            </w:r>
            <w:r>
              <w:rPr>
                <w:rFonts w:hint="eastAsia" w:ascii="微软雅黑" w:hAnsi="微软雅黑" w:eastAsia="微软雅黑" w:cs="微软雅黑"/>
                <w:sz w:val="18"/>
                <w:lang w:val="en-US" w:eastAsia="zh-CN"/>
              </w:rPr>
              <w:t>详细设计</w:t>
            </w:r>
            <w:r>
              <w:rPr>
                <w:rFonts w:hint="eastAsia" w:ascii="微软雅黑" w:hAnsi="微软雅黑" w:eastAsia="微软雅黑" w:cs="微软雅黑"/>
                <w:sz w:val="18"/>
              </w:rPr>
              <w:t>初稿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jc w:val="center"/>
        </w:trPr>
        <w:tc>
          <w:tcPr>
            <w:tcW w:w="1339" w:type="dxa"/>
            <w:vAlign w:val="top"/>
          </w:tcPr>
          <w:p>
            <w:pPr>
              <w:pStyle w:val="67"/>
              <w:rPr>
                <w:rFonts w:ascii="微软雅黑" w:hAnsi="微软雅黑" w:eastAsia="微软雅黑" w:cs="微软雅黑"/>
                <w:sz w:val="18"/>
              </w:rPr>
            </w:pPr>
            <w:r>
              <w:rPr>
                <w:rFonts w:hint="eastAsia" w:ascii="微软雅黑" w:hAnsi="微软雅黑" w:eastAsia="微软雅黑" w:cs="微软雅黑"/>
                <w:sz w:val="18"/>
              </w:rPr>
              <w:t>2018/0</w:t>
            </w:r>
            <w:r>
              <w:rPr>
                <w:rFonts w:hint="eastAsia" w:ascii="微软雅黑" w:hAnsi="微软雅黑" w:eastAsia="微软雅黑" w:cs="微软雅黑"/>
                <w:sz w:val="18"/>
                <w:lang w:val="en-US" w:eastAsia="zh-CN"/>
              </w:rPr>
              <w:t>3</w:t>
            </w:r>
            <w:r>
              <w:rPr>
                <w:rFonts w:hint="eastAsia" w:ascii="微软雅黑" w:hAnsi="微软雅黑" w:eastAsia="微软雅黑" w:cs="微软雅黑"/>
                <w:sz w:val="18"/>
              </w:rPr>
              <w:t>/</w:t>
            </w:r>
            <w:r>
              <w:rPr>
                <w:rFonts w:hint="eastAsia" w:ascii="微软雅黑" w:hAnsi="微软雅黑" w:eastAsia="微软雅黑" w:cs="微软雅黑"/>
                <w:sz w:val="18"/>
                <w:lang w:val="en-US" w:eastAsia="zh-CN"/>
              </w:rPr>
              <w:t>12</w:t>
            </w:r>
          </w:p>
        </w:tc>
        <w:tc>
          <w:tcPr>
            <w:tcW w:w="2278" w:type="dxa"/>
            <w:vAlign w:val="top"/>
          </w:tcPr>
          <w:p>
            <w:pPr>
              <w:rPr>
                <w:rFonts w:ascii="微软雅黑" w:hAnsi="微软雅黑" w:eastAsia="微软雅黑" w:cs="微软雅黑"/>
                <w:sz w:val="18"/>
              </w:rPr>
            </w:pPr>
            <w:r>
              <w:rPr>
                <w:rFonts w:hint="eastAsia" w:ascii="微软雅黑" w:hAnsi="微软雅黑" w:eastAsia="微软雅黑" w:cs="微软雅黑"/>
                <w:sz w:val="18"/>
                <w:lang w:eastAsia="zh-CN"/>
              </w:rPr>
              <w:t>北京XX科技</w:t>
            </w:r>
            <w:r>
              <w:rPr>
                <w:rFonts w:hint="eastAsia" w:ascii="微软雅黑" w:hAnsi="微软雅黑" w:eastAsia="微软雅黑" w:cs="微软雅黑"/>
                <w:sz w:val="18"/>
              </w:rPr>
              <w:t>有限公司</w:t>
            </w:r>
          </w:p>
        </w:tc>
        <w:tc>
          <w:tcPr>
            <w:tcW w:w="906" w:type="dxa"/>
            <w:vAlign w:val="top"/>
          </w:tcPr>
          <w:p>
            <w:pPr>
              <w:pStyle w:val="67"/>
              <w:rPr>
                <w:rFonts w:ascii="微软雅黑" w:hAnsi="微软雅黑" w:eastAsia="微软雅黑" w:cs="微软雅黑"/>
                <w:sz w:val="18"/>
              </w:rPr>
            </w:pPr>
            <w:r>
              <w:rPr>
                <w:rFonts w:hint="eastAsia" w:ascii="微软雅黑" w:hAnsi="微软雅黑" w:eastAsia="微软雅黑" w:cs="微软雅黑"/>
                <w:sz w:val="18"/>
                <w:lang w:eastAsia="zh-CN"/>
              </w:rPr>
              <w:t>V1.</w:t>
            </w:r>
            <w:r>
              <w:rPr>
                <w:rFonts w:hint="eastAsia" w:ascii="微软雅黑" w:hAnsi="微软雅黑" w:eastAsia="微软雅黑" w:cs="微软雅黑"/>
                <w:sz w:val="18"/>
                <w:lang w:val="en-US" w:eastAsia="zh-CN"/>
              </w:rPr>
              <w:t>1</w:t>
            </w:r>
          </w:p>
        </w:tc>
        <w:tc>
          <w:tcPr>
            <w:tcW w:w="2406" w:type="dxa"/>
            <w:vAlign w:val="top"/>
          </w:tcPr>
          <w:p>
            <w:pPr>
              <w:pStyle w:val="67"/>
              <w:rPr>
                <w:rFonts w:ascii="微软雅黑" w:hAnsi="微软雅黑" w:eastAsia="微软雅黑" w:cs="微软雅黑"/>
                <w:sz w:val="18"/>
              </w:rPr>
            </w:pPr>
            <w:r>
              <w:rPr>
                <w:rFonts w:hint="eastAsia" w:ascii="微软雅黑" w:hAnsi="微软雅黑" w:eastAsia="微软雅黑" w:cs="微软雅黑"/>
                <w:sz w:val="18"/>
              </w:rPr>
              <w:t>业务需求与</w:t>
            </w:r>
            <w:r>
              <w:rPr>
                <w:rFonts w:hint="eastAsia" w:ascii="微软雅黑" w:hAnsi="微软雅黑" w:eastAsia="微软雅黑" w:cs="微软雅黑"/>
                <w:sz w:val="18"/>
                <w:lang w:val="en-US" w:eastAsia="zh-CN"/>
              </w:rPr>
              <w:t>详细设计评审稿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jc w:val="center"/>
        </w:trPr>
        <w:tc>
          <w:tcPr>
            <w:tcW w:w="1339" w:type="dxa"/>
            <w:vAlign w:val="top"/>
          </w:tcPr>
          <w:p>
            <w:pPr>
              <w:pStyle w:val="67"/>
              <w:rPr>
                <w:rFonts w:ascii="微软雅黑" w:hAnsi="微软雅黑" w:eastAsia="微软雅黑" w:cs="微软雅黑"/>
                <w:sz w:val="18"/>
              </w:rPr>
            </w:pPr>
            <w:r>
              <w:rPr>
                <w:rFonts w:hint="eastAsia" w:ascii="微软雅黑" w:hAnsi="微软雅黑" w:eastAsia="微软雅黑" w:cs="微软雅黑"/>
                <w:sz w:val="18"/>
              </w:rPr>
              <w:t>2018/03/1</w:t>
            </w:r>
            <w:r>
              <w:rPr>
                <w:rFonts w:hint="eastAsia" w:ascii="微软雅黑" w:hAnsi="微软雅黑" w:eastAsia="微软雅黑" w:cs="微软雅黑"/>
                <w:sz w:val="18"/>
                <w:lang w:val="en-US" w:eastAsia="zh-CN"/>
              </w:rPr>
              <w:t>5</w:t>
            </w:r>
          </w:p>
        </w:tc>
        <w:tc>
          <w:tcPr>
            <w:tcW w:w="2278" w:type="dxa"/>
            <w:vAlign w:val="top"/>
          </w:tcPr>
          <w:p>
            <w:pPr>
              <w:pStyle w:val="67"/>
              <w:rPr>
                <w:rFonts w:ascii="微软雅黑" w:hAnsi="微软雅黑" w:eastAsia="微软雅黑" w:cs="微软雅黑"/>
                <w:sz w:val="18"/>
              </w:rPr>
            </w:pPr>
            <w:r>
              <w:rPr>
                <w:rFonts w:hint="eastAsia" w:ascii="微软雅黑" w:hAnsi="微软雅黑" w:eastAsia="微软雅黑" w:cs="微软雅黑"/>
                <w:sz w:val="18"/>
                <w:lang w:eastAsia="zh-CN"/>
              </w:rPr>
              <w:t>北京XX科技</w:t>
            </w:r>
            <w:r>
              <w:rPr>
                <w:rFonts w:hint="eastAsia" w:ascii="微软雅黑" w:hAnsi="微软雅黑" w:eastAsia="微软雅黑" w:cs="微软雅黑"/>
                <w:sz w:val="18"/>
              </w:rPr>
              <w:t>有限公司</w:t>
            </w:r>
          </w:p>
        </w:tc>
        <w:tc>
          <w:tcPr>
            <w:tcW w:w="906" w:type="dxa"/>
            <w:vAlign w:val="top"/>
          </w:tcPr>
          <w:p>
            <w:pPr>
              <w:pStyle w:val="67"/>
              <w:rPr>
                <w:rFonts w:ascii="微软雅黑" w:hAnsi="微软雅黑" w:eastAsia="微软雅黑" w:cs="微软雅黑"/>
                <w:sz w:val="18"/>
              </w:rPr>
            </w:pPr>
            <w:r>
              <w:rPr>
                <w:rFonts w:hint="eastAsia" w:ascii="微软雅黑" w:hAnsi="微软雅黑" w:eastAsia="微软雅黑" w:cs="微软雅黑"/>
                <w:sz w:val="18"/>
              </w:rPr>
              <w:t>V1.2</w:t>
            </w:r>
          </w:p>
        </w:tc>
        <w:tc>
          <w:tcPr>
            <w:tcW w:w="2406" w:type="dxa"/>
            <w:vAlign w:val="top"/>
          </w:tcPr>
          <w:p>
            <w:pPr>
              <w:pStyle w:val="67"/>
              <w:rPr>
                <w:rFonts w:ascii="微软雅黑" w:hAnsi="微软雅黑" w:eastAsia="微软雅黑" w:cs="微软雅黑"/>
                <w:sz w:val="18"/>
              </w:rPr>
            </w:pPr>
            <w:r>
              <w:rPr>
                <w:rFonts w:hint="eastAsia" w:ascii="微软雅黑" w:hAnsi="微软雅黑" w:eastAsia="微软雅黑" w:cs="微软雅黑"/>
                <w:sz w:val="18"/>
              </w:rPr>
              <w:t>业务需求与</w:t>
            </w:r>
            <w:r>
              <w:rPr>
                <w:rFonts w:hint="eastAsia" w:ascii="微软雅黑" w:hAnsi="微软雅黑" w:eastAsia="微软雅黑" w:cs="微软雅黑"/>
                <w:sz w:val="18"/>
                <w:lang w:val="en-US" w:eastAsia="zh-CN"/>
              </w:rPr>
              <w:t>详细设计评审稿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jc w:val="center"/>
        </w:trPr>
        <w:tc>
          <w:tcPr>
            <w:tcW w:w="1339" w:type="dxa"/>
          </w:tcPr>
          <w:p>
            <w:pPr>
              <w:pStyle w:val="67"/>
              <w:rPr>
                <w:rFonts w:ascii="微软雅黑" w:hAnsi="微软雅黑" w:eastAsia="微软雅黑" w:cs="微软雅黑"/>
                <w:sz w:val="18"/>
              </w:rPr>
            </w:pPr>
          </w:p>
        </w:tc>
        <w:tc>
          <w:tcPr>
            <w:tcW w:w="2278" w:type="dxa"/>
          </w:tcPr>
          <w:p>
            <w:pPr>
              <w:pStyle w:val="67"/>
              <w:rPr>
                <w:rFonts w:ascii="微软雅黑" w:hAnsi="微软雅黑" w:eastAsia="微软雅黑" w:cs="微软雅黑"/>
                <w:sz w:val="18"/>
              </w:rPr>
            </w:pPr>
          </w:p>
        </w:tc>
        <w:tc>
          <w:tcPr>
            <w:tcW w:w="906" w:type="dxa"/>
          </w:tcPr>
          <w:p>
            <w:pPr>
              <w:pStyle w:val="67"/>
              <w:rPr>
                <w:rFonts w:ascii="微软雅黑" w:hAnsi="微软雅黑" w:eastAsia="微软雅黑" w:cs="微软雅黑"/>
                <w:sz w:val="18"/>
              </w:rPr>
            </w:pPr>
          </w:p>
        </w:tc>
        <w:tc>
          <w:tcPr>
            <w:tcW w:w="2406" w:type="dxa"/>
          </w:tcPr>
          <w:p>
            <w:pPr>
              <w:pStyle w:val="67"/>
              <w:rPr>
                <w:rFonts w:ascii="微软雅黑" w:hAnsi="微软雅黑" w:eastAsia="微软雅黑" w:cs="微软雅黑"/>
                <w:sz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jc w:val="center"/>
        </w:trPr>
        <w:tc>
          <w:tcPr>
            <w:tcW w:w="1339" w:type="dxa"/>
          </w:tcPr>
          <w:p>
            <w:pPr>
              <w:pStyle w:val="67"/>
              <w:rPr>
                <w:rFonts w:ascii="微软雅黑" w:hAnsi="微软雅黑" w:eastAsia="微软雅黑" w:cs="微软雅黑"/>
                <w:sz w:val="18"/>
              </w:rPr>
            </w:pPr>
          </w:p>
        </w:tc>
        <w:tc>
          <w:tcPr>
            <w:tcW w:w="2278" w:type="dxa"/>
          </w:tcPr>
          <w:p>
            <w:pPr>
              <w:pStyle w:val="67"/>
              <w:rPr>
                <w:rFonts w:ascii="微软雅黑" w:hAnsi="微软雅黑" w:eastAsia="微软雅黑" w:cs="微软雅黑"/>
                <w:sz w:val="18"/>
              </w:rPr>
            </w:pPr>
          </w:p>
        </w:tc>
        <w:tc>
          <w:tcPr>
            <w:tcW w:w="906" w:type="dxa"/>
          </w:tcPr>
          <w:p>
            <w:pPr>
              <w:pStyle w:val="67"/>
              <w:rPr>
                <w:rFonts w:ascii="微软雅黑" w:hAnsi="微软雅黑" w:eastAsia="微软雅黑" w:cs="微软雅黑"/>
                <w:sz w:val="18"/>
              </w:rPr>
            </w:pPr>
          </w:p>
        </w:tc>
        <w:tc>
          <w:tcPr>
            <w:tcW w:w="2406" w:type="dxa"/>
          </w:tcPr>
          <w:p>
            <w:pPr>
              <w:pStyle w:val="67"/>
              <w:rPr>
                <w:rFonts w:ascii="微软雅黑" w:hAnsi="微软雅黑" w:eastAsia="微软雅黑" w:cs="微软雅黑"/>
                <w:sz w:val="18"/>
              </w:rPr>
            </w:pPr>
          </w:p>
        </w:tc>
      </w:tr>
    </w:tbl>
    <w:p>
      <w:pPr>
        <w:spacing w:line="400" w:lineRule="exact"/>
        <w:rPr>
          <w:rFonts w:ascii="微软雅黑" w:hAnsi="微软雅黑" w:eastAsia="微软雅黑" w:cs="微软雅黑"/>
          <w:sz w:val="24"/>
          <w:szCs w:val="24"/>
        </w:rPr>
      </w:pPr>
      <w:r>
        <w:rPr>
          <w:rFonts w:hint="eastAsia" w:ascii="微软雅黑" w:hAnsi="微软雅黑" w:eastAsia="微软雅黑" w:cs="微软雅黑"/>
          <w:sz w:val="24"/>
          <w:szCs w:val="24"/>
        </w:rPr>
        <w:br w:type="page"/>
      </w:r>
    </w:p>
    <w:p>
      <w:pPr>
        <w:pStyle w:val="2"/>
        <w:spacing w:before="160" w:after="160" w:line="480" w:lineRule="auto"/>
        <w:rPr>
          <w:rFonts w:ascii="微软雅黑" w:hAnsi="微软雅黑" w:eastAsia="微软雅黑" w:cs="微软雅黑"/>
          <w:sz w:val="36"/>
          <w:szCs w:val="36"/>
        </w:rPr>
      </w:pPr>
      <w:bookmarkStart w:id="24" w:name="_Toc508831128"/>
      <w:r>
        <w:rPr>
          <w:rFonts w:hint="eastAsia" w:ascii="微软雅黑" w:hAnsi="微软雅黑" w:eastAsia="微软雅黑" w:cs="微软雅黑"/>
          <w:sz w:val="36"/>
          <w:szCs w:val="36"/>
        </w:rPr>
        <w:t>1.实现蓝图</w:t>
      </w:r>
      <w:bookmarkEnd w:id="24"/>
    </w:p>
    <w:p>
      <w:pPr>
        <w:pStyle w:val="3"/>
      </w:pPr>
      <w:bookmarkStart w:id="25" w:name="_Toc508831129"/>
      <w:r>
        <w:rPr>
          <w:rFonts w:hint="eastAsia"/>
        </w:rPr>
        <w:t>1</w:t>
      </w:r>
      <w:r>
        <w:rPr>
          <w:rFonts w:hint="eastAsia"/>
          <w:lang w:val="zh-CN"/>
        </w:rPr>
        <w:t>.</w:t>
      </w:r>
      <w:r>
        <w:rPr>
          <w:rFonts w:hint="eastAsia"/>
        </w:rPr>
        <w:t>1整体设计</w:t>
      </w:r>
      <w:bookmarkEnd w:id="25"/>
    </w:p>
    <w:p>
      <w:pPr>
        <w:jc w:val="center"/>
      </w:pPr>
      <w:r>
        <w:drawing>
          <wp:inline distT="0" distB="0" distL="0" distR="0">
            <wp:extent cx="6300470" cy="2912110"/>
            <wp:effectExtent l="19050" t="0" r="508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0" cstate="print"/>
                    <a:srcRect/>
                    <a:stretch>
                      <a:fillRect/>
                    </a:stretch>
                  </pic:blipFill>
                  <pic:spPr>
                    <a:xfrm>
                      <a:off x="0" y="0"/>
                      <a:ext cx="6300470" cy="2912647"/>
                    </a:xfrm>
                    <a:prstGeom prst="rect">
                      <a:avLst/>
                    </a:prstGeom>
                    <a:noFill/>
                    <a:ln w="9525">
                      <a:noFill/>
                      <a:miter lim="800000"/>
                      <a:headEnd/>
                      <a:tailEnd/>
                    </a:ln>
                  </pic:spPr>
                </pic:pic>
              </a:graphicData>
            </a:graphic>
          </wp:inline>
        </w:drawing>
      </w:r>
    </w:p>
    <w:p>
      <w:pPr>
        <w:pStyle w:val="17"/>
        <w:ind w:left="0" w:firstLine="420"/>
        <w:rPr>
          <w:rFonts w:ascii="微软雅黑" w:hAnsi="微软雅黑" w:eastAsia="微软雅黑" w:cs="微软雅黑"/>
          <w:sz w:val="24"/>
          <w:szCs w:val="24"/>
        </w:rPr>
      </w:pPr>
      <w:r>
        <w:rPr>
          <w:rFonts w:hint="eastAsia" w:ascii="微软雅黑" w:hAnsi="微软雅黑" w:eastAsia="微软雅黑" w:cs="微软雅黑"/>
          <w:sz w:val="24"/>
          <w:szCs w:val="24"/>
        </w:rPr>
        <w:t>目前大部分企业管理的信息化主要是针对业务操作层面，在这过程中产生的大量业务数据，并未在决策等其他环节得到有效利用，缺少分析诊断操作。在当今大数据时代下，信息化建设需以数据分析、决策作为核心管理思想，整合企业的资源信息，</w:t>
      </w:r>
      <w:r>
        <w:rPr>
          <w:rFonts w:ascii="微软雅黑" w:hAnsi="微软雅黑" w:eastAsia="微软雅黑" w:cs="微软雅黑"/>
          <w:sz w:val="24"/>
          <w:szCs w:val="24"/>
        </w:rPr>
        <w:t>帮助企业管理层提高对信息化的认识，促成管理层对信息化达成共识，同时也帮助企业的战略能够顺利实现</w:t>
      </w:r>
      <w:r>
        <w:rPr>
          <w:rFonts w:hint="eastAsia" w:ascii="微软雅黑" w:hAnsi="微软雅黑" w:eastAsia="微软雅黑" w:cs="微软雅黑"/>
          <w:sz w:val="24"/>
          <w:szCs w:val="24"/>
        </w:rPr>
        <w:t>，从而提升企业信息化管理的水平，优化企业产品结构，提高工作效率及市场响应速度。</w:t>
      </w:r>
    </w:p>
    <w:p>
      <w:pPr>
        <w:pStyle w:val="4"/>
        <w:spacing w:before="160" w:after="160"/>
        <w:rPr>
          <w:rFonts w:ascii="微软雅黑" w:hAnsi="微软雅黑" w:eastAsia="微软雅黑" w:cs="微软雅黑"/>
          <w:color w:val="auto"/>
          <w:szCs w:val="28"/>
          <w:lang w:val="en-US"/>
        </w:rPr>
      </w:pPr>
      <w:bookmarkStart w:id="26" w:name="_Toc508831130"/>
      <w:r>
        <w:rPr>
          <w:rFonts w:hint="eastAsia" w:ascii="微软雅黑" w:hAnsi="微软雅黑" w:eastAsia="微软雅黑" w:cs="微软雅黑"/>
          <w:color w:val="auto"/>
          <w:szCs w:val="28"/>
          <w:lang w:val="en-US"/>
        </w:rPr>
        <w:t>1</w:t>
      </w:r>
      <w:r>
        <w:rPr>
          <w:rFonts w:hint="eastAsia" w:ascii="微软雅黑" w:hAnsi="微软雅黑" w:eastAsia="微软雅黑" w:cs="微软雅黑"/>
          <w:color w:val="auto"/>
          <w:szCs w:val="28"/>
          <w:lang w:val="zh-CN"/>
        </w:rPr>
        <w:t>.</w:t>
      </w:r>
      <w:r>
        <w:rPr>
          <w:rFonts w:hint="eastAsia" w:ascii="微软雅黑" w:hAnsi="微软雅黑" w:eastAsia="微软雅黑" w:cs="微软雅黑"/>
          <w:color w:val="auto"/>
          <w:szCs w:val="28"/>
          <w:lang w:val="en-US"/>
        </w:rPr>
        <w:t>1</w:t>
      </w:r>
      <w:r>
        <w:rPr>
          <w:rFonts w:hint="eastAsia" w:ascii="微软雅黑" w:hAnsi="微软雅黑" w:eastAsia="微软雅黑" w:cs="微软雅黑"/>
          <w:color w:val="auto"/>
          <w:szCs w:val="28"/>
          <w:lang w:val="zh-CN"/>
        </w:rPr>
        <w:t>.1</w:t>
      </w:r>
      <w:r>
        <w:rPr>
          <w:rFonts w:hint="eastAsia" w:ascii="微软雅黑" w:hAnsi="微软雅黑" w:eastAsia="微软雅黑" w:cs="微软雅黑"/>
          <w:color w:val="auto"/>
          <w:szCs w:val="28"/>
          <w:lang w:val="en-US"/>
        </w:rPr>
        <w:t>业务执行层</w:t>
      </w:r>
      <w:bookmarkEnd w:id="26"/>
    </w:p>
    <w:p>
      <w:pPr>
        <w:pStyle w:val="17"/>
        <w:ind w:left="0"/>
      </w:pPr>
      <w:r>
        <w:object>
          <v:shape id="_x0000_i1025" o:spt="75" type="#_x0000_t75" style="height:681.75pt;width:492pt;" o:ole="t" filled="f" o:preferrelative="t" stroked="f" coordsize="21600,21600">
            <v:path/>
            <v:fill on="f" focussize="0,0"/>
            <v:stroke on="f" joinstyle="miter"/>
            <v:imagedata r:id="rId12" o:title=""/>
            <o:lock v:ext="edit" aspectratio="t"/>
            <w10:wrap type="none"/>
            <w10:anchorlock/>
          </v:shape>
          <o:OLEObject Type="Embed" ProgID="Visio.Drawing.11" ShapeID="_x0000_i1025" DrawAspect="Content" ObjectID="_1468075725" r:id="rId11">
            <o:LockedField>false</o:LockedField>
          </o:OLEObject>
        </w:object>
      </w:r>
    </w:p>
    <w:p>
      <w:pPr>
        <w:pStyle w:val="17"/>
        <w:ind w:left="0" w:firstLine="420"/>
        <w:rPr>
          <w:rFonts w:ascii="微软雅黑" w:hAnsi="微软雅黑" w:eastAsia="微软雅黑" w:cs="微软雅黑"/>
          <w:sz w:val="24"/>
          <w:szCs w:val="24"/>
        </w:rPr>
      </w:pPr>
      <w:r>
        <w:rPr>
          <w:rFonts w:hint="eastAsia" w:ascii="微软雅黑" w:hAnsi="微软雅黑" w:eastAsia="微软雅黑" w:cs="微软雅黑"/>
          <w:sz w:val="24"/>
          <w:szCs w:val="24"/>
        </w:rPr>
        <w:t>业务执行层主要用来描述企业日常经营、生产工作及企业业务流程管理工作，将企业关键业务流程，关键业务驱动力与信息系统相融合。将企业制造流进行信息化管控，实现业务流程清晰且流畅，加工进度可跟踪及追溯，业务信息透明且共享。将企业加工过程中，从采购、成品装配及发货的全过程物流信息进行记录、跟踪，实现物料轨迹的实时准确定位。将企业采购合同到付款、开票、应付账款，以及产品直接成本的资金流信息进行管控，实现账务账龄清晰，财务核算数据信息完整、准确。</w:t>
      </w:r>
    </w:p>
    <w:p>
      <w:r>
        <w:rPr>
          <w:rFonts w:hint="eastAsia"/>
        </w:rPr>
        <w:br w:type="page"/>
      </w:r>
    </w:p>
    <w:p>
      <w:pPr>
        <w:pStyle w:val="3"/>
      </w:pPr>
      <w:bookmarkStart w:id="27" w:name="_Toc508831131"/>
      <w:r>
        <w:rPr>
          <w:rFonts w:hint="eastAsia"/>
        </w:rPr>
        <w:t>2</w:t>
      </w:r>
      <w:r>
        <w:rPr>
          <w:rFonts w:hint="eastAsia"/>
          <w:lang w:val="zh-CN"/>
        </w:rPr>
        <w:t>.</w:t>
      </w:r>
      <w:r>
        <w:rPr>
          <w:rFonts w:hint="eastAsia"/>
        </w:rPr>
        <w:t>2详细设计</w:t>
      </w:r>
      <w:bookmarkEnd w:id="27"/>
    </w:p>
    <w:p>
      <w:pPr>
        <w:pStyle w:val="4"/>
        <w:spacing w:before="160" w:after="160"/>
        <w:rPr>
          <w:rFonts w:ascii="微软雅黑" w:hAnsi="微软雅黑" w:eastAsia="微软雅黑" w:cs="微软雅黑"/>
          <w:color w:val="auto"/>
          <w:szCs w:val="28"/>
          <w:lang w:val="en-US"/>
        </w:rPr>
      </w:pPr>
      <w:bookmarkStart w:id="28" w:name="_Toc507241301"/>
      <w:bookmarkStart w:id="29" w:name="_Toc508831132"/>
      <w:r>
        <w:rPr>
          <w:rFonts w:hint="eastAsia" w:ascii="微软雅黑" w:hAnsi="微软雅黑" w:eastAsia="微软雅黑" w:cs="微软雅黑"/>
          <w:color w:val="auto"/>
          <w:szCs w:val="28"/>
          <w:lang w:val="en-US"/>
        </w:rPr>
        <w:t>2.2.1</w:t>
      </w:r>
      <w:bookmarkEnd w:id="28"/>
      <w:r>
        <w:rPr>
          <w:rFonts w:hint="eastAsia" w:ascii="微软雅黑" w:hAnsi="微软雅黑" w:eastAsia="微软雅黑" w:cs="微软雅黑"/>
          <w:color w:val="auto"/>
          <w:szCs w:val="28"/>
          <w:lang w:val="en-US"/>
        </w:rPr>
        <w:t>接口管理</w:t>
      </w:r>
      <w:bookmarkEnd w:id="29"/>
    </w:p>
    <w:p>
      <w:pPr>
        <w:ind w:left="42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接口内容：</w:t>
      </w:r>
    </w:p>
    <w:tbl>
      <w:tblPr>
        <w:tblStyle w:val="38"/>
        <w:tblW w:w="9492"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6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传递方向</w:t>
            </w:r>
          </w:p>
        </w:tc>
        <w:tc>
          <w:tcPr>
            <w:tcW w:w="6940" w:type="dxa"/>
          </w:tcPr>
          <w:p>
            <w:pP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ERP-&gt;</w:t>
            </w:r>
            <w:r>
              <w:rPr>
                <w:rFonts w:ascii="微软雅黑" w:hAnsi="微软雅黑" w:eastAsia="微软雅黑" w:cs="微软雅黑"/>
                <w:kern w:val="0"/>
                <w:sz w:val="20"/>
                <w:szCs w:val="20"/>
              </w:rPr>
              <w:t>MES</w:t>
            </w:r>
          </w:p>
        </w:tc>
        <w:tc>
          <w:tcPr>
            <w:tcW w:w="6940" w:type="dxa"/>
          </w:tcPr>
          <w:p>
            <w:pP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技术准备令、生产令、物料信息、物料关系、供应商、客户、合同信息等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C</w:t>
            </w:r>
            <w:r>
              <w:rPr>
                <w:rFonts w:ascii="微软雅黑" w:hAnsi="微软雅黑" w:eastAsia="微软雅黑" w:cs="微软雅黑"/>
                <w:kern w:val="0"/>
                <w:sz w:val="20"/>
                <w:szCs w:val="20"/>
              </w:rPr>
              <w:t>APP-&gt;MES</w:t>
            </w:r>
          </w:p>
        </w:tc>
        <w:tc>
          <w:tcPr>
            <w:tcW w:w="6940" w:type="dxa"/>
          </w:tcPr>
          <w:p>
            <w:pP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工艺路线和工艺内容等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rPr>
                <w:rFonts w:ascii="微软雅黑" w:hAnsi="微软雅黑" w:eastAsia="微软雅黑" w:cs="微软雅黑"/>
                <w:kern w:val="0"/>
                <w:sz w:val="20"/>
                <w:szCs w:val="20"/>
              </w:rPr>
            </w:pPr>
            <w:r>
              <w:rPr>
                <w:rFonts w:ascii="微软雅黑" w:hAnsi="微软雅黑" w:eastAsia="微软雅黑" w:cs="微软雅黑"/>
                <w:kern w:val="0"/>
                <w:sz w:val="20"/>
                <w:szCs w:val="20"/>
              </w:rPr>
              <w:t>MES-&gt;</w:t>
            </w:r>
            <w:r>
              <w:rPr>
                <w:rFonts w:hint="eastAsia" w:ascii="微软雅黑" w:hAnsi="微软雅黑" w:eastAsia="微软雅黑" w:cs="微软雅黑"/>
                <w:kern w:val="0"/>
                <w:sz w:val="20"/>
                <w:szCs w:val="20"/>
              </w:rPr>
              <w:t>固高欧辰WMS</w:t>
            </w:r>
          </w:p>
        </w:tc>
        <w:tc>
          <w:tcPr>
            <w:tcW w:w="6940" w:type="dxa"/>
          </w:tcPr>
          <w:p>
            <w:pP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采购入库申请、领料申请和明细信息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固高欧辰WMS</w:t>
            </w:r>
            <w:r>
              <w:rPr>
                <w:rFonts w:ascii="微软雅黑" w:hAnsi="微软雅黑" w:eastAsia="微软雅黑" w:cs="微软雅黑"/>
                <w:kern w:val="0"/>
                <w:sz w:val="20"/>
                <w:szCs w:val="20"/>
              </w:rPr>
              <w:t>-&gt;MES</w:t>
            </w:r>
          </w:p>
        </w:tc>
        <w:tc>
          <w:tcPr>
            <w:tcW w:w="6940" w:type="dxa"/>
          </w:tcPr>
          <w:p>
            <w:pP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库存信息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rPr>
                <w:rFonts w:ascii="微软雅黑" w:hAnsi="微软雅黑" w:eastAsia="微软雅黑" w:cs="微软雅黑"/>
                <w:kern w:val="0"/>
                <w:sz w:val="20"/>
                <w:szCs w:val="20"/>
              </w:rPr>
            </w:pPr>
            <w:r>
              <w:rPr>
                <w:rFonts w:ascii="微软雅黑" w:hAnsi="微软雅黑" w:eastAsia="微软雅黑" w:cs="微软雅黑"/>
                <w:kern w:val="0"/>
                <w:sz w:val="20"/>
                <w:szCs w:val="20"/>
              </w:rPr>
              <w:t>MES-&gt;</w:t>
            </w:r>
            <w:r>
              <w:rPr>
                <w:rFonts w:hint="eastAsia" w:ascii="微软雅黑" w:hAnsi="微软雅黑" w:eastAsia="微软雅黑" w:cs="微软雅黑"/>
                <w:kern w:val="0"/>
                <w:sz w:val="20"/>
                <w:szCs w:val="20"/>
              </w:rPr>
              <w:t>清华APS</w:t>
            </w:r>
          </w:p>
        </w:tc>
        <w:tc>
          <w:tcPr>
            <w:tcW w:w="6940" w:type="dxa"/>
          </w:tcPr>
          <w:p>
            <w:pP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物料信息、物料关系、设备基础、设备当前状态、设备维修保养计划、合同明细信息、仓库库存信息、线边库存信息等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清华APS</w:t>
            </w:r>
            <w:r>
              <w:rPr>
                <w:rFonts w:ascii="微软雅黑" w:hAnsi="微软雅黑" w:eastAsia="微软雅黑" w:cs="微软雅黑"/>
                <w:kern w:val="0"/>
                <w:sz w:val="20"/>
                <w:szCs w:val="20"/>
              </w:rPr>
              <w:t>-&gt;MES</w:t>
            </w:r>
          </w:p>
        </w:tc>
        <w:tc>
          <w:tcPr>
            <w:tcW w:w="6940" w:type="dxa"/>
          </w:tcPr>
          <w:p>
            <w:pPr>
              <w:autoSpaceDE w:val="0"/>
              <w:autoSpaceDN w:val="0"/>
              <w:adjustRightInd w:val="0"/>
              <w:spacing w:line="288" w:lineRule="auto"/>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生产计划、物料采购、零件加工、零件外协、产品装配、产品外协</w:t>
            </w:r>
          </w:p>
        </w:tc>
      </w:tr>
    </w:tbl>
    <w:p>
      <w:pPr>
        <w:ind w:left="42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接口主流程：</w:t>
      </w:r>
    </w:p>
    <w:p>
      <w:pPr>
        <w:ind w:left="420"/>
        <w:rPr>
          <w:rFonts w:ascii="微软雅黑" w:hAnsi="微软雅黑" w:eastAsia="微软雅黑" w:cs="微软雅黑"/>
          <w:kern w:val="0"/>
          <w:sz w:val="20"/>
          <w:szCs w:val="20"/>
        </w:rPr>
      </w:pPr>
      <w:r>
        <w:object>
          <v:shape id="_x0000_i1026" o:spt="75" type="#_x0000_t75" style="height:306pt;width:351.75pt;" o:ole="t" filled="f" o:preferrelative="t" stroked="f" coordsize="21600,21600">
            <v:path/>
            <v:fill on="f" focussize="0,0"/>
            <v:stroke on="f" joinstyle="miter"/>
            <v:imagedata r:id="rId14" o:title=""/>
            <o:lock v:ext="edit" aspectratio="t"/>
            <w10:wrap type="none"/>
            <w10:anchorlock/>
          </v:shape>
          <o:OLEObject Type="Embed" ProgID="Visio.Drawing.11" ShapeID="_x0000_i1026" DrawAspect="Content" ObjectID="_1468075726" r:id="rId13">
            <o:LockedField>false</o:LockedField>
          </o:OLEObject>
        </w:object>
      </w:r>
    </w:p>
    <w:p>
      <w:pPr>
        <w:jc w:val="center"/>
      </w:pPr>
    </w:p>
    <w:p>
      <w:pPr>
        <w:pStyle w:val="5"/>
      </w:pPr>
      <w:bookmarkStart w:id="30" w:name="_Toc507241302"/>
      <w:bookmarkStart w:id="31" w:name="_Toc508831133"/>
      <w:r>
        <w:rPr>
          <w:rFonts w:hint="eastAsia"/>
        </w:rPr>
        <w:t>2.2.1.1业务流程</w:t>
      </w:r>
      <w:bookmarkEnd w:id="30"/>
      <w:bookmarkEnd w:id="31"/>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27"/>
              <w:ind w:left="0"/>
              <w:jc w:val="center"/>
              <w:rPr>
                <w:rFonts w:ascii="微软雅黑" w:hAnsi="微软雅黑" w:eastAsia="微软雅黑" w:cs="微软雅黑"/>
              </w:rPr>
            </w:pPr>
            <w:r>
              <w:rPr>
                <w:rFonts w:hint="eastAsia" w:ascii="微软雅黑" w:hAnsi="微软雅黑" w:eastAsia="微软雅黑" w:cs="微软雅黑"/>
                <w:sz w:val="21"/>
                <w:szCs w:val="21"/>
              </w:rPr>
              <w:t>1</w:t>
            </w:r>
          </w:p>
        </w:tc>
        <w:tc>
          <w:tcPr>
            <w:tcW w:w="1575"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客户管理流程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通过建立客户接口表，系统自动根据接口表的时间和状态进行计算并生成MES系统的客户基本信息。在ERP系统中，当客户未生效时，</w:t>
            </w:r>
            <w:r>
              <w:rPr>
                <w:rFonts w:ascii="微软雅黑" w:hAnsi="微软雅黑" w:eastAsia="微软雅黑" w:cs="微软雅黑"/>
              </w:rPr>
              <w:t>ERP</w:t>
            </w:r>
            <w:r>
              <w:rPr>
                <w:rFonts w:hint="eastAsia" w:ascii="微软雅黑" w:hAnsi="微软雅黑" w:eastAsia="微软雅黑" w:cs="微软雅黑"/>
              </w:rPr>
              <w:t>系统不写入中间表；当客户生效时，ERP系统向中间表生成生效后的记录，并标识此记录为新增状态，MES系统通过中间表的更新时间和处理状态，新增MES系统的客户信息；当客户发生变更时，如客户名称、税号等发生变更，ERP系统向中间表生成变更后的记录，不变更的为空，并标识此记录为修改状态，MES系统通过中间表的更新时间和处理状态，更新MES系统的客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27" o:spt="75" type="#_x0000_t75" style="height:543.75pt;width:225pt;" o:ole="t" filled="f" o:preferrelative="t" stroked="f" coordsize="21600,21600">
                  <v:path/>
                  <v:fill on="f" focussize="0,0"/>
                  <v:stroke on="f" joinstyle="miter"/>
                  <v:imagedata r:id="rId16" o:title=""/>
                  <o:lock v:ext="edit" aspectratio="t"/>
                  <w10:wrap type="none"/>
                  <w10:anchorlock/>
                </v:shape>
                <o:OLEObject Type="Embed" ProgID="Visio.Drawing.11" ShapeID="_x0000_i1027" DrawAspect="Content" ObjectID="_1468075727" r:id="rId15">
                  <o:LockedField>false</o:LockedField>
                </o:OLEObject>
              </w:object>
            </w:r>
          </w:p>
        </w:tc>
      </w:tr>
    </w:tbl>
    <w:p>
      <w:pPr>
        <w:rPr>
          <w:lang w:val="zh-CN"/>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27"/>
              <w:ind w:left="0"/>
              <w:jc w:val="center"/>
              <w:rPr>
                <w:rFonts w:ascii="微软雅黑" w:hAnsi="微软雅黑" w:eastAsia="微软雅黑" w:cs="微软雅黑"/>
              </w:rPr>
            </w:pPr>
            <w:r>
              <w:rPr>
                <w:rFonts w:hint="eastAsia" w:ascii="微软雅黑" w:hAnsi="微软雅黑" w:eastAsia="微软雅黑" w:cs="微软雅黑"/>
                <w:sz w:val="21"/>
                <w:szCs w:val="21"/>
              </w:rPr>
              <w:t>2</w:t>
            </w:r>
          </w:p>
        </w:tc>
        <w:tc>
          <w:tcPr>
            <w:tcW w:w="1575"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供应商管理流程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通过建立供应商接口表，系统自动根据接口表的时间和状态进行计算并生成MES系统的供应商基本信息。在ERP系统中，当供应商未生效时，</w:t>
            </w:r>
            <w:r>
              <w:rPr>
                <w:rFonts w:ascii="微软雅黑" w:hAnsi="微软雅黑" w:eastAsia="微软雅黑" w:cs="微软雅黑"/>
              </w:rPr>
              <w:t>ERP</w:t>
            </w:r>
            <w:r>
              <w:rPr>
                <w:rFonts w:hint="eastAsia" w:ascii="微软雅黑" w:hAnsi="微软雅黑" w:eastAsia="微软雅黑" w:cs="微软雅黑"/>
              </w:rPr>
              <w:t>系统不写入中间表；当供应商生效时，ERP系统向中间表生成生效后的记录，并标识此记录为新增状态，MES系统通过中间表的更新时间和处理状态，新增MES系统的供应商信息；当供应商发生变更时，如供应商名称、税号等发生变更，ERP系统向中间表生成变更后的记录，不变更的为空，并标识此记录为修改状态，MES系统通过中间表的更新时间和处理状态，更新MES系统的供应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28" o:spt="75" type="#_x0000_t75" style="height:538.5pt;width:222.75pt;" o:ole="t" filled="f" o:preferrelative="t" stroked="f" coordsize="21600,21600">
                  <v:path/>
                  <v:fill on="f" focussize="0,0"/>
                  <v:stroke on="f" joinstyle="miter"/>
                  <v:imagedata r:id="rId18" o:title=""/>
                  <o:lock v:ext="edit" aspectratio="t"/>
                  <w10:wrap type="none"/>
                  <w10:anchorlock/>
                </v:shape>
                <o:OLEObject Type="Embed" ProgID="Visio.Drawing.11" ShapeID="_x0000_i1028" DrawAspect="Content" ObjectID="_1468075728" r:id="rId17">
                  <o:LockedField>false</o:LockedField>
                </o:OLEObject>
              </w:object>
            </w:r>
          </w:p>
        </w:tc>
      </w:tr>
    </w:tbl>
    <w:p>
      <w:pPr>
        <w:rPr>
          <w:rFonts w:ascii="微软雅黑" w:hAnsi="微软雅黑" w:eastAsia="微软雅黑" w:cs="微软雅黑"/>
          <w:sz w:val="24"/>
          <w:szCs w:val="24"/>
          <w:lang w:val="zh-CN"/>
        </w:rPr>
      </w:pPr>
    </w:p>
    <w:p>
      <w:pPr>
        <w:rPr>
          <w:rFonts w:ascii="微软雅黑" w:hAnsi="微软雅黑" w:eastAsia="微软雅黑" w:cs="微软雅黑"/>
          <w:sz w:val="24"/>
          <w:szCs w:val="24"/>
          <w:lang w:val="zh-CN"/>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27"/>
              <w:ind w:left="0"/>
              <w:jc w:val="center"/>
              <w:rPr>
                <w:rFonts w:ascii="微软雅黑" w:hAnsi="微软雅黑" w:eastAsia="微软雅黑" w:cs="微软雅黑"/>
              </w:rPr>
            </w:pPr>
            <w:r>
              <w:rPr>
                <w:rFonts w:hint="eastAsia" w:ascii="微软雅黑" w:hAnsi="微软雅黑" w:eastAsia="微软雅黑" w:cs="微软雅黑"/>
              </w:rPr>
              <w:t>3</w:t>
            </w:r>
          </w:p>
        </w:tc>
        <w:tc>
          <w:tcPr>
            <w:tcW w:w="1575"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营销合同管理流程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通过建立营销合同接口表，系统自动根据接口表的时间和状态进行计算并生成MES系统的营销合同基本信息。在ERP系统中，当合同未生效时，</w:t>
            </w:r>
            <w:r>
              <w:rPr>
                <w:rFonts w:ascii="微软雅黑" w:hAnsi="微软雅黑" w:eastAsia="微软雅黑" w:cs="微软雅黑"/>
              </w:rPr>
              <w:t>ERP</w:t>
            </w:r>
            <w:r>
              <w:rPr>
                <w:rFonts w:hint="eastAsia" w:ascii="微软雅黑" w:hAnsi="微软雅黑" w:eastAsia="微软雅黑" w:cs="微软雅黑"/>
              </w:rPr>
              <w:t xml:space="preserve">系统不写入中间表；当合同生效时，ERP系统向中间表生成生效后的记录，并标识此记录为新增状态，MES系统通过中间表的更新时间和处理状态，新增MES系统的合同信息；当营销合同发生变更时，ERP系统向中间表生成变更后的记录，不变更的为空，并标识此记录为修改状态，MES系统通过中间表的更新时间和处理状态，更新MES系统的合同信息；当营销合同发生冻结时，ERP系统向中间表生成冻结后的记录，录入需冻结的合同号，并标识此记录为删除状态，MES系统通过中间表的更新时间和处理状态，更新MES系统的合同信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pPr>
            <w:r>
              <w:object>
                <v:shape id="_x0000_i1029" o:spt="75" type="#_x0000_t75" style="height:509.25pt;width:201pt;" o:ole="t" filled="f" o:preferrelative="t" stroked="f" coordsize="21600,21600">
                  <v:path/>
                  <v:fill on="f" focussize="0,0"/>
                  <v:stroke on="f" joinstyle="miter"/>
                  <v:imagedata r:id="rId20" o:title=""/>
                  <o:lock v:ext="edit" aspectratio="t"/>
                  <w10:wrap type="none"/>
                  <w10:anchorlock/>
                </v:shape>
                <o:OLEObject Type="Embed" ProgID="Visio.Drawing.11" ShapeID="_x0000_i1029" DrawAspect="Content" ObjectID="_1468075729" r:id="rId19">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27"/>
              <w:ind w:left="0"/>
              <w:jc w:val="center"/>
              <w:rPr>
                <w:rFonts w:ascii="微软雅黑" w:hAnsi="微软雅黑" w:eastAsia="微软雅黑" w:cs="微软雅黑"/>
              </w:rPr>
            </w:pPr>
            <w:r>
              <w:rPr>
                <w:rFonts w:hint="eastAsia" w:ascii="微软雅黑" w:hAnsi="微软雅黑" w:eastAsia="微软雅黑" w:cs="微软雅黑"/>
              </w:rPr>
              <w:t>4</w:t>
            </w:r>
          </w:p>
        </w:tc>
        <w:tc>
          <w:tcPr>
            <w:tcW w:w="1575"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营销合同明细管理流程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通过建立营销合同明细接口表，系统自动根据接口表的时间和状态进行计算并生成MES系统的营销合同明细基本信息。在ERP系统中，当合同未生效时，</w:t>
            </w:r>
            <w:r>
              <w:rPr>
                <w:rFonts w:ascii="微软雅黑" w:hAnsi="微软雅黑" w:eastAsia="微软雅黑" w:cs="微软雅黑"/>
              </w:rPr>
              <w:t>ERP</w:t>
            </w:r>
            <w:r>
              <w:rPr>
                <w:rFonts w:hint="eastAsia" w:ascii="微软雅黑" w:hAnsi="微软雅黑" w:eastAsia="微软雅黑" w:cs="微软雅黑"/>
              </w:rPr>
              <w:t>系统不写入中间表；当合同生效时，ERP系统向中间表生成生效后的记录，并标识此记录为新增状态，MES系统通过中间表的更新时间和处理状态，新增MES系统的合同信息；当营销合同明细发生变更时，ERP系统向中间表生成变更后的记录，不变更的为空，并标识此记录为修改状态，MES系统通过中间表的更新时间和处理状态，更新MES系统的合同信息，如果合同明细的数量或金额变小，则需根据实际业务情况判断是否可以进行处理，不能处理的返回错误原因；当营销合同明细发生删除时，ERP系统向中间表生成需删除的记录，录入需删除的合同号和行号，并标识此记录为删除状态，MES系统通过中间表的更新时间和处理状态，更新MES系统的合同明细信息，如果合同明细的数量或金额变小，则需根据实际业务情况判断是否可以进行处理，不能处理的返回错误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30" o:spt="75" type="#_x0000_t75" style="height:528pt;width:208.5pt;" o:ole="t" filled="f" o:preferrelative="t" stroked="f" coordsize="21600,21600">
                  <v:path/>
                  <v:fill on="f" focussize="0,0"/>
                  <v:stroke on="f" joinstyle="miter"/>
                  <v:imagedata r:id="rId22" o:title=""/>
                  <o:lock v:ext="edit" aspectratio="t"/>
                  <w10:wrap type="none"/>
                  <w10:anchorlock/>
                </v:shape>
                <o:OLEObject Type="Embed" ProgID="Visio.Drawing.11" ShapeID="_x0000_i1030" DrawAspect="Content" ObjectID="_1468075730" r:id="rId21">
                  <o:LockedField>false</o:LockedField>
                </o:OLEObject>
              </w:object>
            </w:r>
          </w:p>
        </w:tc>
      </w:tr>
    </w:tbl>
    <w:p/>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27"/>
              <w:ind w:left="0"/>
              <w:jc w:val="center"/>
              <w:rPr>
                <w:rFonts w:ascii="微软雅黑" w:hAnsi="微软雅黑" w:eastAsia="微软雅黑" w:cs="微软雅黑"/>
              </w:rPr>
            </w:pPr>
            <w:r>
              <w:rPr>
                <w:rFonts w:hint="eastAsia" w:ascii="微软雅黑" w:hAnsi="微软雅黑" w:eastAsia="微软雅黑" w:cs="微软雅黑"/>
              </w:rPr>
              <w:t>5</w:t>
            </w:r>
          </w:p>
        </w:tc>
        <w:tc>
          <w:tcPr>
            <w:tcW w:w="1575"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技术准备令管理流程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通过建立技术准备令接口表，系统自动根据接口表的时间和状态进行计算并生成MES系统的技术准备令基本信息。在ERP系统中，当技术准备令未生效时，</w:t>
            </w:r>
            <w:r>
              <w:rPr>
                <w:rFonts w:ascii="微软雅黑" w:hAnsi="微软雅黑" w:eastAsia="微软雅黑" w:cs="微软雅黑"/>
              </w:rPr>
              <w:t>ERP</w:t>
            </w:r>
            <w:r>
              <w:rPr>
                <w:rFonts w:hint="eastAsia" w:ascii="微软雅黑" w:hAnsi="微软雅黑" w:eastAsia="微软雅黑" w:cs="微软雅黑"/>
              </w:rPr>
              <w:t>系统不写入中间表；当技术准备令生效时，ERP系统向中间表生成生效后的记录，并标识此记录为新增状态，MES系统通过中间表的更新时间和处理状态，新增MES系统的技术准备令信息；当技术准备令发生变更时，ERP系统向中间表生成变更后的记录，不变更的为空，并标识此记录为修改状态，MES系统通过中间表的更新时间和处理状态，更新MES系统的技术准备令信息，如果技术准备令的数量或金额变小，则需根据实际业务情况判断是否可以进行处理，不能处理的返回错误原因；当技术准备令发生删除时，ERP系统向中间表生成需删除的记录，录入需删除的技术准备令，并标识此记录为删除状态，MES系统通过中间表的更新时间和处理状态，更新MES系统的技术准备令信息，如果技术准备令的数量或金额变小，则需根据实际业务情况判断是否可以进行处理，不能处理的返回错误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31" o:spt="75" type="#_x0000_t75" style="height:505.5pt;width:199.5pt;" o:ole="t" filled="f" o:preferrelative="t" stroked="f" coordsize="21600,21600">
                  <v:path/>
                  <v:fill on="f" focussize="0,0"/>
                  <v:stroke on="f" joinstyle="miter"/>
                  <v:imagedata r:id="rId24" o:title=""/>
                  <o:lock v:ext="edit" aspectratio="t"/>
                  <w10:wrap type="none"/>
                  <w10:anchorlock/>
                </v:shape>
                <o:OLEObject Type="Embed" ProgID="Visio.Drawing.11" ShapeID="_x0000_i1031" DrawAspect="Content" ObjectID="_1468075731" r:id="rId23">
                  <o:LockedField>false</o:LockedField>
                </o:OLEObject>
              </w:object>
            </w:r>
          </w:p>
        </w:tc>
      </w:tr>
    </w:tbl>
    <w:p/>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27"/>
              <w:ind w:left="0"/>
              <w:jc w:val="center"/>
              <w:rPr>
                <w:rFonts w:ascii="微软雅黑" w:hAnsi="微软雅黑" w:eastAsia="微软雅黑" w:cs="微软雅黑"/>
              </w:rPr>
            </w:pPr>
            <w:r>
              <w:rPr>
                <w:rFonts w:hint="eastAsia" w:ascii="微软雅黑" w:hAnsi="微软雅黑" w:eastAsia="微软雅黑" w:cs="微软雅黑"/>
              </w:rPr>
              <w:t>6</w:t>
            </w:r>
          </w:p>
        </w:tc>
        <w:tc>
          <w:tcPr>
            <w:tcW w:w="1575"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生产令管理流程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通过建立生产令接口表，系统自动根据接口表的时间和状态进行计算并生成MES系统的生产令基本信息。在ERP系统中，当生产令未生效时，</w:t>
            </w:r>
            <w:r>
              <w:rPr>
                <w:rFonts w:ascii="微软雅黑" w:hAnsi="微软雅黑" w:eastAsia="微软雅黑" w:cs="微软雅黑"/>
              </w:rPr>
              <w:t>ERP</w:t>
            </w:r>
            <w:r>
              <w:rPr>
                <w:rFonts w:hint="eastAsia" w:ascii="微软雅黑" w:hAnsi="微软雅黑" w:eastAsia="微软雅黑" w:cs="微软雅黑"/>
              </w:rPr>
              <w:t>系统不写入中间表；当生产令生效时，ERP系统向中间表生成生效后的记录，并标识此记录为新增状态，MES系统通过中间表的更新时间和处理状态，新增MES系统的生产令信息；当生产令发生变更时，ERP系统向中间表生成变更后的记录，不变更的为空，并标识此记录为修改状态，MES系统通过中间表的更新时间和处理状态，更新MES系统的生产令信息，如果生产令的数量变小，则需根据实际业务情况判断是否可以进行处理，不能处理的返回错误原因；当生产令发生删除时，ERP系统向中间表生成需删除的记录，录入需删除的生产令，并标识此记录为删除状态，MES系统通过中间表的更新时间和处理状态，更新MES系统的生产令信息，如果生产令的数量变小，则需根据实际业务情况判断是否可以进行处理，不能处理的返回错误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32" o:spt="75" type="#_x0000_t75" style="height:469.5pt;width:185.25pt;" o:ole="t" filled="f" o:preferrelative="t" stroked="f" coordsize="21600,21600">
                  <v:path/>
                  <v:fill on="f" focussize="0,0"/>
                  <v:stroke on="f" joinstyle="miter"/>
                  <v:imagedata r:id="rId26" o:title=""/>
                  <o:lock v:ext="edit" aspectratio="t"/>
                  <w10:wrap type="none"/>
                  <w10:anchorlock/>
                </v:shape>
                <o:OLEObject Type="Embed" ProgID="Visio.Drawing.11" ShapeID="_x0000_i1032" DrawAspect="Content" ObjectID="_1468075732" r:id="rId25">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27"/>
              <w:ind w:left="0"/>
              <w:jc w:val="center"/>
              <w:rPr>
                <w:rFonts w:ascii="微软雅黑" w:hAnsi="微软雅黑" w:eastAsia="微软雅黑" w:cs="微软雅黑"/>
              </w:rPr>
            </w:pPr>
            <w:r>
              <w:rPr>
                <w:rFonts w:hint="eastAsia" w:ascii="微软雅黑" w:hAnsi="微软雅黑" w:eastAsia="微软雅黑" w:cs="微软雅黑"/>
              </w:rPr>
              <w:t>7</w:t>
            </w:r>
          </w:p>
        </w:tc>
        <w:tc>
          <w:tcPr>
            <w:tcW w:w="1575"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生产令明确通知单管理流程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通过建立生产令明确通知单接口表，系统自动根据接口表的时间和状态进行计算并生成MES系统的生产令明确通知单基本信息。在ERP系统中，当生产令明确通知单未生效时，</w:t>
            </w:r>
            <w:r>
              <w:rPr>
                <w:rFonts w:ascii="微软雅黑" w:hAnsi="微软雅黑" w:eastAsia="微软雅黑" w:cs="微软雅黑"/>
              </w:rPr>
              <w:t>ERP</w:t>
            </w:r>
            <w:r>
              <w:rPr>
                <w:rFonts w:hint="eastAsia" w:ascii="微软雅黑" w:hAnsi="微软雅黑" w:eastAsia="微软雅黑" w:cs="微软雅黑"/>
              </w:rPr>
              <w:t>系统不写入中间表；当生产令生效时，ERP系统向中间表生成生效后的记录，并标识此记录为新增状态，MES系统通过中间表的更新时间和处理状态，新增MES系统的生产令明确通知单信息；当生产令发生变更时，ERP系统向中间表生成变更后的记录，不变更的为空，并标识此记录为修改状态，MES系统通过中间表的更新时间和处理状态，更新MES系统的生产令信息，如果生产令的数量变小，则需根据实际业务情况判断是否可以进行处理，不能处理的返回错误原因；当生产令发生删除时，ERP系统向中间表生成需删除的记录，录入需删除的生产令，并标识此记录为删除状态，MES系统通过中间表的更新时间和处理状态，更新MES系统的生产令信息，如果生产令的数量变小，则需根据实际业务情况判断是否可以进行处理，不能处理的返回错误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33" o:spt="75" type="#_x0000_t75" style="height:509.25pt;width:201pt;" o:ole="t" filled="f" o:preferrelative="t" stroked="f" coordsize="21600,21600">
                  <v:path/>
                  <v:fill on="f" focussize="0,0"/>
                  <v:stroke on="f" joinstyle="miter"/>
                  <v:imagedata r:id="rId26" o:title=""/>
                  <o:lock v:ext="edit" aspectratio="t"/>
                  <w10:wrap type="none"/>
                  <w10:anchorlock/>
                </v:shape>
                <o:OLEObject Type="Embed" ProgID="Visio.Drawing.11" ShapeID="_x0000_i1033" DrawAspect="Content" ObjectID="_1468075733" r:id="rId27">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27"/>
              <w:ind w:left="0"/>
              <w:jc w:val="center"/>
              <w:rPr>
                <w:rFonts w:ascii="微软雅黑" w:hAnsi="微软雅黑" w:eastAsia="微软雅黑" w:cs="微软雅黑"/>
              </w:rPr>
            </w:pPr>
            <w:r>
              <w:rPr>
                <w:rFonts w:hint="eastAsia" w:ascii="微软雅黑" w:hAnsi="微软雅黑" w:eastAsia="微软雅黑" w:cs="微软雅黑"/>
              </w:rPr>
              <w:t>8</w:t>
            </w:r>
          </w:p>
        </w:tc>
        <w:tc>
          <w:tcPr>
            <w:tcW w:w="1575"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主计划管理流程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通过建立主计划接口表，系统自动根据接口表的时间和状态进行计算并生成MES系统的主计划基本信息。在ERP系统中，当主计划未生效时，</w:t>
            </w:r>
            <w:r>
              <w:rPr>
                <w:rFonts w:ascii="微软雅黑" w:hAnsi="微软雅黑" w:eastAsia="微软雅黑" w:cs="微软雅黑"/>
              </w:rPr>
              <w:t>ERP</w:t>
            </w:r>
            <w:r>
              <w:rPr>
                <w:rFonts w:hint="eastAsia" w:ascii="微软雅黑" w:hAnsi="微软雅黑" w:eastAsia="微软雅黑" w:cs="微软雅黑"/>
              </w:rPr>
              <w:t>系统不写入中间表；当主计划生效时，ERP系统向中间表生成生效后的记录，并标识此记录为新增状态，MES系统通过中间表的更新时间和处理状态，新增MES系统的主计划信息；当主计划发生变更时，ERP系统向中间表生成变更后的记录，不变更的为空，并标识此记录为修改状态，MES系统通过中间表的更新时间和处理状态，更新MES系统的主计划信息，如果主计划的数量变小，则需根据实际业务情况判断是否可以进行处理，不能处理的返回错误原因；当生产令发生删除时，ERP系统向中间表生成需删除的记录，录入需删除的主计划，并标识此记录为删除状态，MES系统通过中间表的更新时间和处理状态，更新MES系统的主计划信息，如果生产令的数量变小，则需根据实际业务情况判断是否可以进行处理，不能处理的返回错误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34" o:spt="75" type="#_x0000_t75" style="height:508.5pt;width:201pt;" o:ole="t" filled="f" o:preferrelative="t" stroked="f" coordsize="21600,21600">
                  <v:path/>
                  <v:fill on="f" focussize="0,0"/>
                  <v:stroke on="f" joinstyle="miter"/>
                  <v:imagedata r:id="rId29" o:title=""/>
                  <o:lock v:ext="edit" aspectratio="t"/>
                  <w10:wrap type="none"/>
                  <w10:anchorlock/>
                </v:shape>
                <o:OLEObject Type="Embed" ProgID="Visio.Drawing.11" ShapeID="_x0000_i1034" DrawAspect="Content" ObjectID="_1468075734" r:id="rId28">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27"/>
              <w:ind w:left="0"/>
              <w:jc w:val="center"/>
              <w:rPr>
                <w:rFonts w:ascii="微软雅黑" w:hAnsi="微软雅黑" w:eastAsia="微软雅黑" w:cs="微软雅黑"/>
              </w:rPr>
            </w:pPr>
            <w:r>
              <w:rPr>
                <w:rFonts w:hint="eastAsia" w:ascii="微软雅黑" w:hAnsi="微软雅黑" w:eastAsia="微软雅黑" w:cs="微软雅黑"/>
              </w:rPr>
              <w:t>9</w:t>
            </w:r>
          </w:p>
        </w:tc>
        <w:tc>
          <w:tcPr>
            <w:tcW w:w="1575"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物料管理流程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通过建立物料接口表，系统自动根据接口表的时间和状态进行计算并生成MES系统的物料基本信息。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35" o:spt="75" type="#_x0000_t75" style="height:609.75pt;width:240pt;" o:ole="t" filled="f" o:preferrelative="t" stroked="f" coordsize="21600,21600">
                  <v:path/>
                  <v:fill on="f" focussize="0,0"/>
                  <v:stroke on="f" joinstyle="miter"/>
                  <v:imagedata r:id="rId31" o:title=""/>
                  <o:lock v:ext="edit" aspectratio="t"/>
                  <w10:wrap type="none"/>
                  <w10:anchorlock/>
                </v:shape>
                <o:OLEObject Type="Embed" ProgID="Visio.Drawing.11" ShapeID="_x0000_i1035" DrawAspect="Content" ObjectID="_1468075735" r:id="rId30">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27"/>
              <w:ind w:left="0"/>
              <w:jc w:val="center"/>
              <w:rPr>
                <w:rFonts w:ascii="微软雅黑" w:hAnsi="微软雅黑" w:eastAsia="微软雅黑" w:cs="微软雅黑"/>
              </w:rPr>
            </w:pPr>
            <w:r>
              <w:rPr>
                <w:rFonts w:hint="eastAsia" w:ascii="微软雅黑" w:hAnsi="微软雅黑" w:eastAsia="微软雅黑" w:cs="微软雅黑"/>
              </w:rPr>
              <w:t>10</w:t>
            </w:r>
          </w:p>
        </w:tc>
        <w:tc>
          <w:tcPr>
            <w:tcW w:w="1575"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物料关系管理流程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通过建立物料关系管理接口表，系统自动根据接口表的时间和状态进行计算并生成MES系统的物料关系基本信息。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36" o:spt="75" type="#_x0000_t75" style="height:623.25pt;width:246.75pt;" o:ole="t" filled="f" o:preferrelative="t" stroked="f" coordsize="21600,21600">
                  <v:path/>
                  <v:fill on="f" focussize="0,0"/>
                  <v:stroke on="f" joinstyle="miter"/>
                  <v:imagedata r:id="rId33" o:title=""/>
                  <o:lock v:ext="edit" aspectratio="t"/>
                  <w10:wrap type="none"/>
                  <w10:anchorlock/>
                </v:shape>
                <o:OLEObject Type="Embed" ProgID="Visio.Drawing.11" ShapeID="_x0000_i1036" DrawAspect="Content" ObjectID="_1468075736" r:id="rId32">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27"/>
              <w:ind w:left="0"/>
              <w:jc w:val="center"/>
              <w:rPr>
                <w:rFonts w:ascii="微软雅黑" w:hAnsi="微软雅黑" w:eastAsia="微软雅黑" w:cs="微软雅黑"/>
              </w:rPr>
            </w:pPr>
            <w:r>
              <w:rPr>
                <w:rFonts w:hint="eastAsia" w:ascii="微软雅黑" w:hAnsi="微软雅黑" w:eastAsia="微软雅黑" w:cs="微软雅黑"/>
              </w:rPr>
              <w:t>11</w:t>
            </w:r>
          </w:p>
        </w:tc>
        <w:tc>
          <w:tcPr>
            <w:tcW w:w="1575"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部门管理流程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通过建立部门接口表，系统自动根据接口表的时间和状态进行计算并生成MES系统的部门基本信息。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37" o:spt="75" type="#_x0000_t75" style="height:623.25pt;width:246.75pt;" o:ole="t" filled="f" o:preferrelative="t" stroked="f" coordsize="21600,21600">
                  <v:path/>
                  <v:fill on="f" focussize="0,0"/>
                  <v:stroke on="f" joinstyle="miter"/>
                  <v:imagedata r:id="rId35" o:title=""/>
                  <o:lock v:ext="edit" aspectratio="t"/>
                  <w10:wrap type="none"/>
                  <w10:anchorlock/>
                </v:shape>
                <o:OLEObject Type="Embed" ProgID="Visio.Drawing.11" ShapeID="_x0000_i1037" DrawAspect="Content" ObjectID="_1468075737" r:id="rId34">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12</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人员管理流程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通过建立人员接口表，系统自动根据接口表的时间和状态进行计算并生成MES系统的人员基本信息。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38" o:spt="75" type="#_x0000_t75" style="height:618.75pt;width:244.5pt;" o:ole="t" filled="f" o:preferrelative="t" stroked="f" coordsize="21600,21600">
                  <v:path/>
                  <v:fill on="f" focussize="0,0"/>
                  <v:stroke on="f" joinstyle="miter"/>
                  <v:imagedata r:id="rId37" o:title=""/>
                  <o:lock v:ext="edit" aspectratio="t"/>
                  <w10:wrap type="none"/>
                  <w10:anchorlock/>
                </v:shape>
                <o:OLEObject Type="Embed" ProgID="Visio.Drawing.11" ShapeID="_x0000_i1038" DrawAspect="Content" ObjectID="_1468075738" r:id="rId36">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13</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工段管理流程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通过建立工段接口表，系统自动根据接口表的时间和状态进行计算并生成MES系统的工段基本信息。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39" o:spt="75" type="#_x0000_t75" style="height:618.75pt;width:244.5pt;" o:ole="t" filled="f" o:preferrelative="t" stroked="f" coordsize="21600,21600">
                  <v:path/>
                  <v:fill on="f" focussize="0,0"/>
                  <v:stroke on="f" joinstyle="miter"/>
                  <v:imagedata r:id="rId39" o:title=""/>
                  <o:lock v:ext="edit" aspectratio="t"/>
                  <w10:wrap type="none"/>
                  <w10:anchorlock/>
                </v:shape>
                <o:OLEObject Type="Embed" ProgID="Visio.Drawing.11" ShapeID="_x0000_i1039" DrawAspect="Content" ObjectID="_1468075739" r:id="rId38">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14</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工作岛管理流程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通过建立工作岛接口表，系统自动根据接口表的时间和状态进行计算并生成MES系统的工作岛基本信息。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40" o:spt="75" type="#_x0000_t75" style="height:627pt;width:248.25pt;" o:ole="t" filled="f" o:preferrelative="t" stroked="f" coordsize="21600,21600">
                  <v:path/>
                  <v:fill on="f" focussize="0,0"/>
                  <v:stroke on="f" joinstyle="miter"/>
                  <v:imagedata r:id="rId41" o:title=""/>
                  <o:lock v:ext="edit" aspectratio="t"/>
                  <w10:wrap type="none"/>
                  <w10:anchorlock/>
                </v:shape>
                <o:OLEObject Type="Embed" ProgID="Visio.Drawing.11" ShapeID="_x0000_i1040" DrawAspect="Content" ObjectID="_1468075740" r:id="rId40">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15</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设备管理流程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通过建立设备接口表，系统自动根据接口表的时间和状态进行计算并生成MES系统的设备基本信息。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41" o:spt="75" type="#_x0000_t75" style="height:639pt;width:252.75pt;" o:ole="t" filled="f" o:preferrelative="t" stroked="f" coordsize="21600,21600">
                  <v:path/>
                  <v:fill on="f" focussize="0,0"/>
                  <v:stroke on="f" joinstyle="miter"/>
                  <v:imagedata r:id="rId43" o:title=""/>
                  <o:lock v:ext="edit" aspectratio="t"/>
                  <w10:wrap type="none"/>
                  <w10:anchorlock/>
                </v:shape>
                <o:OLEObject Type="Embed" ProgID="Visio.Drawing.11" ShapeID="_x0000_i1041" DrawAspect="Content" ObjectID="_1468075741" r:id="rId42">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16</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设备维修计划管理流程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通过建立设备维修计划接口表，系统自动根据接口表的时间和状态进行计算并生成MES系统的设备维修计划基本信息。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42" o:spt="75" type="#_x0000_t75" style="height:618.75pt;width:244.5pt;" o:ole="t" filled="f" o:preferrelative="t" stroked="f" coordsize="21600,21600">
                  <v:path/>
                  <v:fill on="f" focussize="0,0"/>
                  <v:stroke on="f" joinstyle="miter"/>
                  <v:imagedata r:id="rId45" o:title=""/>
                  <o:lock v:ext="edit" aspectratio="t"/>
                  <w10:wrap type="none"/>
                  <w10:anchorlock/>
                </v:shape>
                <o:OLEObject Type="Embed" ProgID="Visio.Drawing.11" ShapeID="_x0000_i1042" DrawAspect="Content" ObjectID="_1468075742" r:id="rId44">
                  <o:LockedField>false</o:LockedField>
                </o:OLEObject>
              </w:object>
            </w:r>
          </w:p>
        </w:tc>
      </w:tr>
    </w:tbl>
    <w:p/>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17</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装配工艺路线管理流程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通过建立装配工艺路线接口表，系统自动根据接口表的时间和状态进行计算并生成MES系统的装配工艺路线基本信息。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43" o:spt="75" type="#_x0000_t75" style="height:624.75pt;width:246.75pt;" o:ole="t" filled="f" o:preferrelative="t" stroked="f" coordsize="21600,21600">
                  <v:path/>
                  <v:fill on="f" focussize="0,0"/>
                  <v:stroke on="f" joinstyle="miter"/>
                  <v:imagedata r:id="rId47" o:title=""/>
                  <o:lock v:ext="edit" aspectratio="t"/>
                  <w10:wrap type="none"/>
                  <w10:anchorlock/>
                </v:shape>
                <o:OLEObject Type="Embed" ProgID="Visio.Drawing.11" ShapeID="_x0000_i1043" DrawAspect="Content" ObjectID="_1468075743" r:id="rId46">
                  <o:LockedField>false</o:LockedField>
                </o:OLEObject>
              </w:object>
            </w:r>
          </w:p>
        </w:tc>
      </w:tr>
    </w:tbl>
    <w:p/>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18</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装配工序详细内容管理流程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通过建立装配工序详细内容接口表，系统自动根据接口表的时间和状态进行计算并生成MES系统的装配工序详细内容基本信息。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44" o:spt="75" type="#_x0000_t75" style="height:609pt;width:240.75pt;" o:ole="t" filled="f" o:preferrelative="t" stroked="f" coordsize="21600,21600">
                  <v:path/>
                  <v:fill on="f" focussize="0,0"/>
                  <v:stroke on="f" joinstyle="miter"/>
                  <v:imagedata r:id="rId49" o:title=""/>
                  <o:lock v:ext="edit" aspectratio="t"/>
                  <w10:wrap type="none"/>
                  <w10:anchorlock/>
                </v:shape>
                <o:OLEObject Type="Embed" ProgID="Visio.Drawing.11" ShapeID="_x0000_i1044" DrawAspect="Content" ObjectID="_1468075744" r:id="rId48">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19</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物料采购管理流程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物料采购接口表，系统自动根据接口表的时间和状态进行计算并生成MES系统的物料采购基本信息。在APS系统中，当物料采购未生效时，APS系统不写入中间表；当物料采购生效时，APS系统向中间表生成生效后的记录，并标识此记录为新增状态，MES系统通过中间表的更新时间和处理状态，新增MES系统的物料采购信息；当物料采购发生变更时，APS系统向中间表生成变更后的记录，不变更的为空，并标识此记录为修改状态，MES系统通过中间表的更新时间和处理状态，更新MES系统的物料采购信息，如果采购的数量或金额变小，则需根据实际业务情况判断是否可以进行处理，不能处理的返回错误原因；当采购发生删除时，APS系统向中间表生成需删除的记录，录入需删除的物料采购任务号，并标识此记录为删除状态，MES系统通过中间表的更新时间和处理状态，更新MES系统的物料采购信息，如果实际物料已经采购或部分采购，则需根据实际业务情况判断是否可以进行处理，不能处理的返回错误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45" o:spt="75" type="#_x0000_t75" style="height:504.75pt;width:199.5pt;" o:ole="t" filled="f" o:preferrelative="t" stroked="f" coordsize="21600,21600">
                  <v:path/>
                  <v:fill on="f" focussize="0,0"/>
                  <v:stroke on="f" joinstyle="miter"/>
                  <v:imagedata r:id="rId51" o:title=""/>
                  <o:lock v:ext="edit" aspectratio="t"/>
                  <w10:wrap type="none"/>
                  <w10:anchorlock/>
                </v:shape>
                <o:OLEObject Type="Embed" ProgID="Visio.Drawing.11" ShapeID="_x0000_i1045" DrawAspect="Content" ObjectID="_1468075745" r:id="rId50">
                  <o:LockedField>false</o:LockedField>
                </o:OLEObject>
              </w:object>
            </w:r>
          </w:p>
        </w:tc>
      </w:tr>
    </w:tbl>
    <w:p/>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20</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零件外协管理流程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通过建立零件外协接口表，系统自动根据接口表的时间和状态进行计算并生成MES系统的零件外协基本信息。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46" o:spt="75" type="#_x0000_t75" style="height:592.5pt;width:234pt;" o:ole="t" filled="f" o:preferrelative="t" stroked="f" coordsize="21600,21600">
                  <v:path/>
                  <v:fill on="f" focussize="0,0"/>
                  <v:stroke on="f" joinstyle="miter"/>
                  <v:imagedata r:id="rId53" o:title=""/>
                  <o:lock v:ext="edit" aspectratio="t"/>
                  <w10:wrap type="none"/>
                  <w10:anchorlock/>
                </v:shape>
                <o:OLEObject Type="Embed" ProgID="Visio.Drawing.11" ShapeID="_x0000_i1046" DrawAspect="Content" ObjectID="_1468075746" r:id="rId52">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21</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产品装配管理流程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通过建立产品装配接口表，系统自动根据接口表的时间和状态进行计算并生成MES系统的产品装配基本信息。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47" o:spt="75" type="#_x0000_t75" style="height:636.75pt;width:251.25pt;" o:ole="t" filled="f" o:preferrelative="t" stroked="f" coordsize="21600,21600">
                  <v:path/>
                  <v:fill on="f" focussize="0,0"/>
                  <v:stroke on="f" joinstyle="miter"/>
                  <v:imagedata r:id="rId55" o:title=""/>
                  <o:lock v:ext="edit" aspectratio="t"/>
                  <w10:wrap type="none"/>
                  <w10:anchorlock/>
                </v:shape>
                <o:OLEObject Type="Embed" ProgID="Visio.Drawing.11" ShapeID="_x0000_i1047" DrawAspect="Content" ObjectID="_1468075747" r:id="rId54">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22</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产品外协管理流程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通过建立产品外协接口表，系统自动根据接口表的时间和状态进行计算并生成MES系统的产品外协基本信息。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48" o:spt="75" type="#_x0000_t75" style="height:645.75pt;width:254.25pt;" o:ole="t" filled="f" o:preferrelative="t" stroked="f" coordsize="21600,21600">
                  <v:path/>
                  <v:fill on="f" focussize="0,0"/>
                  <v:stroke on="f" joinstyle="miter"/>
                  <v:imagedata r:id="rId57" o:title=""/>
                  <o:lock v:ext="edit" aspectratio="t"/>
                  <w10:wrap type="none"/>
                  <w10:anchorlock/>
                </v:shape>
                <o:OLEObject Type="Embed" ProgID="Visio.Drawing.11" ShapeID="_x0000_i1048" DrawAspect="Content" ObjectID="_1468075748" r:id="rId56">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23</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采购入库管理流程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p>
          <w:p>
            <w:pPr>
              <w:pStyle w:val="27"/>
              <w:ind w:left="0"/>
              <w:rPr>
                <w:rFonts w:ascii="微软雅黑" w:hAnsi="微软雅黑" w:eastAsia="微软雅黑" w:cs="微软雅黑"/>
              </w:rPr>
            </w:pPr>
            <w:r>
              <w:rPr>
                <w:rFonts w:hint="eastAsia" w:ascii="微软雅黑" w:hAnsi="微软雅黑" w:eastAsia="微软雅黑" w:cs="微软雅黑"/>
              </w:rPr>
              <w:t>通过建立采购入库申请接口表，系统根据采购入库业务的采购入库申请业务生成采购入库申请接口基本信息，WMS系统自动根据接口表的时间和状态进行计算并生成入库审核基本信息。</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pPr>
            <w:r>
              <w:object>
                <v:shape id="_x0000_i1049" o:spt="75" type="#_x0000_t75" style="height:570pt;width:325.5pt;" o:ole="t" filled="f" o:preferrelative="t" stroked="f" coordsize="21600,21600">
                  <v:path/>
                  <v:fill on="f" focussize="0,0"/>
                  <v:stroke on="f" joinstyle="miter"/>
                  <v:imagedata r:id="rId59" o:title=""/>
                  <o:lock v:ext="edit" aspectratio="t"/>
                  <w10:wrap type="none"/>
                  <w10:anchorlock/>
                </v:shape>
                <o:OLEObject Type="Embed" ProgID="Visio.Drawing.11" ShapeID="_x0000_i1049" DrawAspect="Content" ObjectID="_1468075749" r:id="rId58">
                  <o:LockedField>false</o:LockedField>
                </o:OLEObject>
              </w:object>
            </w:r>
          </w:p>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24</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领料申请管理流程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p>
          <w:p>
            <w:pPr>
              <w:pStyle w:val="27"/>
              <w:ind w:left="0"/>
              <w:rPr>
                <w:rFonts w:ascii="微软雅黑" w:hAnsi="微软雅黑" w:eastAsia="微软雅黑" w:cs="微软雅黑"/>
              </w:rPr>
            </w:pPr>
            <w:r>
              <w:rPr>
                <w:rFonts w:hint="eastAsia" w:ascii="微软雅黑" w:hAnsi="微软雅黑" w:eastAsia="微软雅黑" w:cs="微软雅黑"/>
              </w:rPr>
              <w:t>通过建立领料申请接口表，系统根据装配出库业务的领料申请业务生成领料申请接口基本信息，WMS系统自动根据接口表的时间和状态进行计算并生成领料出库审核基本信息。</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pPr>
            <w:r>
              <w:object>
                <v:shape id="_x0000_i1050" o:spt="75" type="#_x0000_t75" style="height:546pt;width:312.75pt;" o:ole="t" filled="f" o:preferrelative="t" stroked="f" coordsize="21600,21600">
                  <v:path/>
                  <v:fill on="f" focussize="0,0"/>
                  <v:stroke on="f" joinstyle="miter"/>
                  <v:imagedata r:id="rId61" o:title=""/>
                  <o:lock v:ext="edit" aspectratio="t"/>
                  <w10:wrap type="none"/>
                  <w10:anchorlock/>
                </v:shape>
                <o:OLEObject Type="Embed" ProgID="Visio.Drawing.11" ShapeID="_x0000_i1050" DrawAspect="Content" ObjectID="_1468075750" r:id="rId60">
                  <o:LockedField>false</o:LockedField>
                </o:OLEObject>
              </w:object>
            </w:r>
          </w:p>
          <w:p/>
          <w:p/>
        </w:tc>
      </w:tr>
    </w:tbl>
    <w:p/>
    <w:p/>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25</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领料申请明细管理流程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Align w:val="center"/>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p>
          <w:p>
            <w:pPr>
              <w:pStyle w:val="27"/>
              <w:ind w:left="0"/>
              <w:rPr>
                <w:rFonts w:ascii="微软雅黑" w:hAnsi="微软雅黑" w:eastAsia="微软雅黑" w:cs="微软雅黑"/>
              </w:rPr>
            </w:pPr>
            <w:r>
              <w:rPr>
                <w:rFonts w:hint="eastAsia" w:ascii="微软雅黑" w:hAnsi="微软雅黑" w:eastAsia="微软雅黑" w:cs="微软雅黑"/>
              </w:rPr>
              <w:t>通过建立领料申请明细接口表，系统根据装配出库业务的领料申请业务生成领料申请接口基本信息，WMS系统自动根据接口表的时间和状态进行计算并生成领料出库明细审核基本信息。</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pPr>
            <w:r>
              <w:object>
                <v:shape id="_x0000_i1051" o:spt="75" type="#_x0000_t75" style="height:553.5pt;width:317.25pt;" o:ole="t" filled="f" o:preferrelative="t" stroked="f" coordsize="21600,21600">
                  <v:path/>
                  <v:fill on="f" focussize="0,0"/>
                  <v:stroke on="f" joinstyle="miter"/>
                  <v:imagedata r:id="rId61" o:title=""/>
                  <o:lock v:ext="edit" aspectratio="t"/>
                  <w10:wrap type="none"/>
                  <w10:anchorlock/>
                </v:shape>
                <o:OLEObject Type="Embed" ProgID="Visio.Drawing.11" ShapeID="_x0000_i1051" DrawAspect="Content" ObjectID="_1468075751" r:id="rId62">
                  <o:LockedField>false</o:LockedField>
                </o:OLEObject>
              </w:object>
            </w:r>
          </w:p>
          <w:p/>
        </w:tc>
      </w:tr>
    </w:tbl>
    <w:p/>
    <w:p/>
    <w:p/>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26</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库存查询管理流程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Align w:val="center"/>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p>
          <w:p>
            <w:pPr>
              <w:pStyle w:val="27"/>
              <w:ind w:left="0"/>
              <w:rPr>
                <w:rFonts w:ascii="微软雅黑" w:hAnsi="微软雅黑" w:eastAsia="微软雅黑" w:cs="微软雅黑"/>
              </w:rPr>
            </w:pPr>
            <w:r>
              <w:rPr>
                <w:rFonts w:hint="eastAsia" w:ascii="微软雅黑" w:hAnsi="微软雅黑" w:eastAsia="微软雅黑" w:cs="微软雅黑"/>
              </w:rPr>
              <w:t>通过建立库存查询接口表，WMS系统根据出入库业务的生成库存基本信息，MES系统自动根据接口表的时间和状态进行计算并生成库存基本信息。</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pPr>
            <w:r>
              <w:object>
                <v:shape id="_x0000_i1052" o:spt="75" type="#_x0000_t75" style="height:564pt;width:205.5pt;" o:ole="t" filled="f" o:preferrelative="t" stroked="f" coordsize="21600,21600">
                  <v:path/>
                  <v:fill on="f" focussize="0,0"/>
                  <v:stroke on="f" joinstyle="miter"/>
                  <v:imagedata r:id="rId64" o:title=""/>
                  <o:lock v:ext="edit" aspectratio="t"/>
                  <w10:wrap type="none"/>
                  <w10:anchorlock/>
                </v:shape>
                <o:OLEObject Type="Embed" ProgID="Visio.Drawing.11" ShapeID="_x0000_i1052" DrawAspect="Content" ObjectID="_1468075752" r:id="rId63">
                  <o:LockedField>false</o:LockedField>
                </o:OLEObject>
              </w:object>
            </w:r>
          </w:p>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27</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销售合同信息管理流程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APS系统通过建立销售合同信息中间表，MES系统根据ERP系统提供的销售合同信息，生成销售合同信息基本信息。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53" o:spt="75" type="#_x0000_t75" style="height:238.5pt;width:52.5pt;" o:ole="t" filled="f" o:preferrelative="t" stroked="f" coordsize="21600,21600">
                  <v:path/>
                  <v:fill on="f" focussize="0,0"/>
                  <v:stroke on="f" joinstyle="miter"/>
                  <v:imagedata r:id="rId66" o:title=""/>
                  <o:lock v:ext="edit" aspectratio="t"/>
                  <w10:wrap type="none"/>
                  <w10:anchorlock/>
                </v:shape>
                <o:OLEObject Type="Embed" ProgID="Visio.Drawing.11" ShapeID="_x0000_i1053" DrawAspect="Content" ObjectID="_1468075753" r:id="rId65">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28</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产品基础信息管理流程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APS系统通过建立产品基础信息中间表，MES系统根据ERP提供的产品信息，生成产品基础基本信息。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54" o:spt="75" type="#_x0000_t75" style="height:291pt;width:63.75pt;" o:ole="t" filled="f" o:preferrelative="t" stroked="f" coordsize="21600,21600">
                  <v:path/>
                  <v:fill on="f" focussize="0,0"/>
                  <v:stroke on="f" joinstyle="miter"/>
                  <v:imagedata r:id="rId68" o:title=""/>
                  <o:lock v:ext="edit" aspectratio="t"/>
                  <w10:wrap type="none"/>
                  <w10:anchorlock/>
                </v:shape>
                <o:OLEObject Type="Embed" ProgID="Visio.Drawing.11" ShapeID="_x0000_i1054" DrawAspect="Content" ObjectID="_1468075754" r:id="rId67">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29</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产品BOM管理流程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APS系统通过建立产品BOM中间表，MES系统根据ERP系统提供的BOM信息，生成产品BOM基本信息。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55" o:spt="75" type="#_x0000_t75" style="height:271.5pt;width:59.25pt;" o:ole="t" filled="f" o:preferrelative="t" stroked="f" coordsize="21600,21600">
                  <v:path/>
                  <v:fill on="f" focussize="0,0"/>
                  <v:stroke on="f" joinstyle="miter"/>
                  <v:imagedata r:id="rId70" o:title=""/>
                  <o:lock v:ext="edit" aspectratio="t"/>
                  <w10:wrap type="none"/>
                  <w10:anchorlock/>
                </v:shape>
                <o:OLEObject Type="Embed" ProgID="Visio.Drawing.11" ShapeID="_x0000_i1055" DrawAspect="Content" ObjectID="_1468075755" r:id="rId69">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30</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零件基础信息管理流程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APS系统通过建立零件基础信息中间表，MES系统根据ERP系统提供的零件信息，生成零件基础信息。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56" o:spt="75" type="#_x0000_t75" style="height:291pt;width:63.75pt;" o:ole="t" filled="f" o:preferrelative="t" stroked="f" coordsize="21600,21600">
                  <v:path/>
                  <v:fill on="f" focussize="0,0"/>
                  <v:stroke on="f" joinstyle="miter"/>
                  <v:imagedata r:id="rId72" o:title=""/>
                  <o:lock v:ext="edit" aspectratio="t"/>
                  <w10:wrap type="none"/>
                  <w10:anchorlock/>
                </v:shape>
                <o:OLEObject Type="Embed" ProgID="Visio.Drawing.11" ShapeID="_x0000_i1056" DrawAspect="Content" ObjectID="_1468075756" r:id="rId71">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31</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设备基础信息管理流程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APS系统通过建立设计基础信息中间表，MES系统根据ERP系统提供的设备信息，生成设备基本信息。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57" o:spt="75" type="#_x0000_t75" style="height:291pt;width:63.75pt;" o:ole="t" filled="f" o:preferrelative="t" stroked="f" coordsize="21600,21600">
                  <v:path/>
                  <v:fill on="f" focussize="0,0"/>
                  <v:stroke on="f" joinstyle="miter"/>
                  <v:imagedata r:id="rId74" o:title=""/>
                  <o:lock v:ext="edit" aspectratio="t"/>
                  <w10:wrap type="none"/>
                  <w10:anchorlock/>
                </v:shape>
                <o:OLEObject Type="Embed" ProgID="Visio.Drawing.11" ShapeID="_x0000_i1057" DrawAspect="Content" ObjectID="_1468075757" r:id="rId73">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32</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设备当前状态管理流程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APS系统通过建立设备当前状态中间表，MES系统根据设备运行的状态，生成设备当前状态基本信息。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58" o:spt="75" type="#_x0000_t75" style="height:248.25pt;width:54.75pt;" o:ole="t" filled="f" o:preferrelative="t" stroked="f" coordsize="21600,21600">
                  <v:path/>
                  <v:fill on="f" focussize="0,0"/>
                  <v:stroke on="f" joinstyle="miter"/>
                  <v:imagedata r:id="rId76" o:title=""/>
                  <o:lock v:ext="edit" aspectratio="t"/>
                  <w10:wrap type="none"/>
                  <w10:anchorlock/>
                </v:shape>
                <o:OLEObject Type="Embed" ProgID="Visio.Drawing.11" ShapeID="_x0000_i1058" DrawAspect="Content" ObjectID="_1468075758" r:id="rId75">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33</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设备维修保养计划管理流程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APS系统通过建立设备维修保养计划中间表，MES系统根据ERP系统提供的设备维修保养计划，生成设备维修保养基本信息。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59" o:spt="75" type="#_x0000_t75" style="height:291pt;width:63.75pt;" o:ole="t" filled="f" o:preferrelative="t" stroked="f" coordsize="21600,21600">
                  <v:path/>
                  <v:fill on="f" focussize="0,0"/>
                  <v:stroke on="f" joinstyle="miter"/>
                  <v:imagedata r:id="rId78" o:title=""/>
                  <o:lock v:ext="edit" aspectratio="t"/>
                  <w10:wrap type="none"/>
                  <w10:anchorlock/>
                </v:shape>
                <o:OLEObject Type="Embed" ProgID="Visio.Drawing.11" ShapeID="_x0000_i1059" DrawAspect="Content" ObjectID="_1468075759" r:id="rId77">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34</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生产任务管理流程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APS系统通过建立生产任务中间表，MES系统根据ERP系统提供的生产任务信息，生成生产任务的基本信息。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60" o:spt="75" type="#_x0000_t75" style="height:270.75pt;width:59.25pt;" o:ole="t" filled="f" o:preferrelative="t" stroked="f" coordsize="21600,21600">
                  <v:path/>
                  <v:fill on="f" focussize="0,0"/>
                  <v:stroke on="f" joinstyle="miter"/>
                  <v:imagedata r:id="rId80" o:title=""/>
                  <o:lock v:ext="edit" aspectratio="t"/>
                  <w10:wrap type="none"/>
                  <w10:anchorlock/>
                </v:shape>
                <o:OLEObject Type="Embed" ProgID="Visio.Drawing.11" ShapeID="_x0000_i1060" DrawAspect="Content" ObjectID="_1468075760" r:id="rId79">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35</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作业计划管理流程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APS系统通过建立作业计划中间表，A</w:t>
            </w:r>
            <w:r>
              <w:rPr>
                <w:rFonts w:ascii="微软雅黑" w:hAnsi="微软雅黑" w:eastAsia="微软雅黑" w:cs="微软雅黑"/>
              </w:rPr>
              <w:t>PS</w:t>
            </w:r>
            <w:r>
              <w:rPr>
                <w:rFonts w:hint="eastAsia" w:ascii="微软雅黑" w:hAnsi="微软雅黑" w:eastAsia="微软雅黑" w:cs="微软雅黑"/>
              </w:rPr>
              <w:t>系统根据相关信息，生成作业计划基本信息。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61" o:spt="75" type="#_x0000_t75" style="height:291pt;width:63.75pt;" o:ole="t" filled="f" o:preferrelative="t" stroked="f" coordsize="21600,21600">
                  <v:path/>
                  <v:fill on="f" focussize="0,0"/>
                  <v:stroke on="f" joinstyle="miter"/>
                  <v:imagedata r:id="rId82" o:title=""/>
                  <o:lock v:ext="edit" aspectratio="t"/>
                  <w10:wrap type="none"/>
                  <w10:anchorlock/>
                </v:shape>
                <o:OLEObject Type="Embed" ProgID="Visio.Drawing.11" ShapeID="_x0000_i1061" DrawAspect="Content" ObjectID="_1468075761" r:id="rId81">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36</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加工进度管理流程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APS系统通过建立加工进度中间表，MES系统根据系统的任务完工信息，生成加工进度基本信息。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62" o:spt="75" type="#_x0000_t75" style="height:257.25pt;width:56.25pt;" o:ole="t" filled="f" o:preferrelative="t" stroked="f" coordsize="21600,21600">
                  <v:path/>
                  <v:fill on="f" focussize="0,0"/>
                  <v:stroke on="f" joinstyle="miter"/>
                  <v:imagedata r:id="rId84" o:title=""/>
                  <o:lock v:ext="edit" aspectratio="t"/>
                  <w10:wrap type="none"/>
                  <w10:anchorlock/>
                </v:shape>
                <o:OLEObject Type="Embed" ProgID="Visio.Drawing.11" ShapeID="_x0000_i1062" DrawAspect="Content" ObjectID="_1468075762" r:id="rId83">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72"/>
        <w:gridCol w:w="1518"/>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72" w:type="dxa"/>
          </w:tcPr>
          <w:p>
            <w:pPr>
              <w:pStyle w:val="27"/>
              <w:ind w:left="0"/>
              <w:jc w:val="center"/>
              <w:rPr>
                <w:rFonts w:ascii="微软雅黑" w:hAnsi="微软雅黑" w:eastAsia="微软雅黑" w:cs="微软雅黑"/>
              </w:rPr>
            </w:pPr>
            <w:r>
              <w:rPr>
                <w:rFonts w:hint="eastAsia" w:ascii="微软雅黑" w:hAnsi="微软雅黑" w:eastAsia="微软雅黑" w:cs="微软雅黑"/>
              </w:rPr>
              <w:t>37</w:t>
            </w:r>
          </w:p>
        </w:tc>
        <w:tc>
          <w:tcPr>
            <w:tcW w:w="1518"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仓库库存管理流程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70" w:type="dxa"/>
            <w:gridSpan w:val="4"/>
          </w:tcPr>
          <w:p>
            <w:pPr>
              <w:pStyle w:val="27"/>
              <w:ind w:left="0"/>
              <w:rPr>
                <w:rFonts w:ascii="微软雅黑" w:hAnsi="微软雅黑" w:eastAsia="微软雅黑" w:cs="微软雅黑"/>
              </w:rPr>
            </w:pPr>
            <w:r>
              <w:rPr>
                <w:rFonts w:hint="eastAsia" w:ascii="微软雅黑" w:hAnsi="微软雅黑" w:eastAsia="微软雅黑" w:cs="微软雅黑"/>
              </w:rPr>
              <w:t>APS系统通过建立仓库库存中间表，MES系统根据WMS系统提供的库存信息，生成仓库库存基本信息。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63" o:spt="75" type="#_x0000_t75" style="height:291pt;width:63.75pt;" o:ole="t" filled="f" o:preferrelative="t" stroked="f" coordsize="21600,21600">
                  <v:path/>
                  <v:fill on="f" focussize="0,0"/>
                  <v:stroke on="f" joinstyle="miter"/>
                  <v:imagedata r:id="rId86" o:title=""/>
                  <o:lock v:ext="edit" aspectratio="t"/>
                  <w10:wrap type="none"/>
                  <w10:anchorlock/>
                </v:shape>
                <o:OLEObject Type="Embed" ProgID="Visio.Drawing.11" ShapeID="_x0000_i1063" DrawAspect="Content" ObjectID="_1468075763" r:id="rId85">
                  <o:LockedField>false</o:LockedField>
                </o:OLEObject>
              </w:object>
            </w:r>
          </w:p>
        </w:tc>
      </w:tr>
    </w:tbl>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01"/>
        <w:gridCol w:w="1489"/>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2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701" w:type="dxa"/>
          </w:tcPr>
          <w:p>
            <w:pPr>
              <w:pStyle w:val="27"/>
              <w:ind w:left="0"/>
              <w:jc w:val="center"/>
              <w:rPr>
                <w:rFonts w:ascii="微软雅黑" w:hAnsi="微软雅黑" w:eastAsia="微软雅黑" w:cs="微软雅黑"/>
              </w:rPr>
            </w:pPr>
            <w:r>
              <w:rPr>
                <w:rFonts w:hint="eastAsia" w:ascii="微软雅黑" w:hAnsi="微软雅黑" w:eastAsia="微软雅黑" w:cs="微软雅黑"/>
              </w:rPr>
              <w:t>38</w:t>
            </w:r>
          </w:p>
        </w:tc>
        <w:tc>
          <w:tcPr>
            <w:tcW w:w="1489"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2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线边库存管理流程</w:t>
            </w:r>
          </w:p>
        </w:tc>
        <w:tc>
          <w:tcPr>
            <w:tcW w:w="1643" w:type="dxa"/>
          </w:tcPr>
          <w:p>
            <w:pPr>
              <w:pStyle w:val="2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2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tcPr>
          <w:p>
            <w:pPr>
              <w:pStyle w:val="2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441" w:type="dxa"/>
            <w:gridSpan w:val="4"/>
          </w:tcPr>
          <w:p>
            <w:pPr>
              <w:pStyle w:val="27"/>
              <w:ind w:left="0"/>
              <w:rPr>
                <w:rFonts w:ascii="微软雅黑" w:hAnsi="微软雅黑" w:eastAsia="微软雅黑" w:cs="微软雅黑"/>
              </w:rPr>
            </w:pPr>
            <w:r>
              <w:rPr>
                <w:rFonts w:hint="eastAsia" w:ascii="微软雅黑" w:hAnsi="微软雅黑" w:eastAsia="微软雅黑" w:cs="微软雅黑"/>
              </w:rPr>
              <w:t>APS系统通过建立线边库存中间表，MES系统根据系统的线边库存信息，生成线边库存的基本信息。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27"/>
              <w:ind w:left="0"/>
              <w:jc w:val="center"/>
              <w:rPr>
                <w:rFonts w:ascii="微软雅黑" w:hAnsi="微软雅黑" w:eastAsia="微软雅黑" w:cs="微软雅黑"/>
              </w:rPr>
            </w:pPr>
            <w:r>
              <w:object>
                <v:shape id="_x0000_i1064" o:spt="75" type="#_x0000_t75" style="height:255.75pt;width:56.25pt;" o:ole="t" filled="f" o:preferrelative="t" stroked="f" coordsize="21600,21600">
                  <v:path/>
                  <v:fill on="f" focussize="0,0"/>
                  <v:stroke on="f" joinstyle="miter"/>
                  <v:imagedata r:id="rId88" o:title=""/>
                  <o:lock v:ext="edit" aspectratio="t"/>
                  <w10:wrap type="none"/>
                  <w10:anchorlock/>
                </v:shape>
                <o:OLEObject Type="Embed" ProgID="Visio.Drawing.11" ShapeID="_x0000_i1064" DrawAspect="Content" ObjectID="_1468075764" r:id="rId87">
                  <o:LockedField>false</o:LockedField>
                </o:OLEObject>
              </w:object>
            </w:r>
          </w:p>
        </w:tc>
      </w:tr>
    </w:tbl>
    <w:p/>
    <w:p>
      <w:pPr>
        <w:pStyle w:val="5"/>
        <w:rPr>
          <w:rFonts w:ascii="微软雅黑" w:hAnsi="微软雅黑" w:eastAsia="微软雅黑"/>
        </w:rPr>
      </w:pPr>
      <w:bookmarkStart w:id="32" w:name="_Toc507241303"/>
      <w:bookmarkStart w:id="33" w:name="_Toc508831134"/>
      <w:r>
        <w:rPr>
          <w:rFonts w:hint="eastAsia" w:ascii="微软雅黑" w:hAnsi="微软雅黑" w:eastAsia="微软雅黑"/>
        </w:rPr>
        <w:t>2.2.1.2功能模块</w:t>
      </w:r>
      <w:bookmarkEnd w:id="32"/>
      <w:bookmarkEnd w:id="33"/>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cs="微软雅黑"/>
          <w:sz w:val="24"/>
          <w:szCs w:val="24"/>
          <w:lang w:val="zh-CN"/>
        </w:rPr>
      </w:pPr>
      <w:r>
        <w:rPr>
          <w:rFonts w:hint="eastAsia" w:ascii="微软雅黑" w:hAnsi="微软雅黑" w:eastAsia="微软雅黑" w:cs="微软雅黑"/>
          <w:sz w:val="24"/>
          <w:szCs w:val="24"/>
        </w:rPr>
        <w:t>2.2.1.2.1</w:t>
      </w:r>
      <w:r>
        <w:rPr>
          <w:rFonts w:hint="eastAsia" w:ascii="微软雅黑" w:hAnsi="微软雅黑" w:eastAsia="微软雅黑"/>
        </w:rPr>
        <w:t>同步处理程序</w:t>
      </w:r>
    </w:p>
    <w:p>
      <w:pPr>
        <w:rPr>
          <w:rFonts w:ascii="微软雅黑" w:hAnsi="微软雅黑" w:eastAsia="微软雅黑"/>
        </w:rPr>
      </w:pP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该模块主要用来与ERP、CAPP、APS、W</w:t>
      </w:r>
      <w:r>
        <w:rPr>
          <w:rFonts w:ascii="微软雅黑" w:hAnsi="微软雅黑" w:eastAsia="微软雅黑" w:cs="宋体"/>
          <w:sz w:val="24"/>
        </w:rPr>
        <w:t>MS</w:t>
      </w:r>
      <w:r>
        <w:rPr>
          <w:rFonts w:hint="eastAsia" w:ascii="微软雅黑" w:hAnsi="微软雅黑" w:eastAsia="微软雅黑" w:cs="宋体"/>
          <w:sz w:val="24"/>
        </w:rPr>
        <w:t>系统之间进行系统数据对接的功能等。</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ind w:left="420"/>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处理逻辑：</w:t>
      </w:r>
    </w:p>
    <w:p>
      <w:pPr>
        <w:numPr>
          <w:ilvl w:val="0"/>
          <w:numId w:val="3"/>
        </w:numPr>
        <w:rPr>
          <w:rFonts w:ascii="微软雅黑" w:hAnsi="微软雅黑" w:eastAsia="微软雅黑" w:cs="微软雅黑"/>
          <w:kern w:val="0"/>
          <w:sz w:val="24"/>
          <w:szCs w:val="24"/>
        </w:rPr>
      </w:pPr>
      <w:r>
        <w:rPr>
          <w:rFonts w:hint="eastAsia" w:ascii="微软雅黑" w:hAnsi="微软雅黑" w:eastAsia="微软雅黑" w:cs="微软雅黑"/>
          <w:b/>
          <w:kern w:val="0"/>
          <w:sz w:val="24"/>
          <w:szCs w:val="24"/>
        </w:rPr>
        <w:t>第1步：</w:t>
      </w:r>
      <w:r>
        <w:rPr>
          <w:rFonts w:hint="eastAsia" w:ascii="微软雅黑" w:hAnsi="微软雅黑" w:eastAsia="微软雅黑" w:cs="微软雅黑"/>
          <w:kern w:val="0"/>
          <w:sz w:val="24"/>
          <w:szCs w:val="24"/>
        </w:rPr>
        <w:t>对方系统根据要求写入中间表数据，当相关的信息发生增加、修改、删除时，均以新增记录的方式写入中间表，状态值为0。当新增信息时，写入新增字段对应的内容，操作方式为1；当变更信息时，只写入实际变更字段的对应内容，其它不需更新的字段为空，操作方式为2；当删除信息时，写入需删除的关键信息字段的对应内容，操作方式为3</w:t>
      </w:r>
      <w:r>
        <w:rPr>
          <w:rFonts w:ascii="微软雅黑" w:hAnsi="微软雅黑" w:eastAsia="微软雅黑" w:cs="微软雅黑"/>
          <w:kern w:val="0"/>
          <w:sz w:val="24"/>
          <w:szCs w:val="24"/>
        </w:rPr>
        <w:t xml:space="preserve"> </w:t>
      </w:r>
      <w:r>
        <w:rPr>
          <w:rFonts w:hint="eastAsia" w:ascii="微软雅黑" w:hAnsi="微软雅黑" w:eastAsia="微软雅黑" w:cs="微软雅黑"/>
          <w:kern w:val="0"/>
          <w:sz w:val="24"/>
          <w:szCs w:val="24"/>
        </w:rPr>
        <w:t>；</w:t>
      </w:r>
    </w:p>
    <w:p>
      <w:pPr>
        <w:numPr>
          <w:ilvl w:val="0"/>
          <w:numId w:val="3"/>
        </w:numPr>
        <w:rPr>
          <w:rFonts w:ascii="微软雅黑" w:hAnsi="微软雅黑" w:eastAsia="微软雅黑" w:cs="微软雅黑"/>
          <w:kern w:val="0"/>
          <w:sz w:val="24"/>
          <w:szCs w:val="24"/>
        </w:rPr>
      </w:pPr>
      <w:r>
        <w:rPr>
          <w:rFonts w:hint="eastAsia" w:ascii="微软雅黑" w:hAnsi="微软雅黑" w:eastAsia="微软雅黑" w:cs="微软雅黑"/>
          <w:b/>
          <w:kern w:val="0"/>
          <w:sz w:val="24"/>
          <w:szCs w:val="24"/>
        </w:rPr>
        <w:t>第2步：</w:t>
      </w:r>
      <w:r>
        <w:rPr>
          <w:rFonts w:hint="eastAsia" w:ascii="微软雅黑" w:hAnsi="微软雅黑" w:eastAsia="微软雅黑" w:cs="微软雅黑"/>
          <w:kern w:val="0"/>
          <w:sz w:val="24"/>
          <w:szCs w:val="24"/>
        </w:rPr>
        <w:t>实时扫描中间表中待处理的数据。当状态为0时，表示待处理，状态为1时，表示已处理；</w:t>
      </w:r>
    </w:p>
    <w:p>
      <w:pPr>
        <w:numPr>
          <w:ilvl w:val="0"/>
          <w:numId w:val="3"/>
        </w:numPr>
        <w:rPr>
          <w:rFonts w:ascii="微软雅黑" w:hAnsi="微软雅黑" w:eastAsia="微软雅黑" w:cs="微软雅黑"/>
          <w:kern w:val="0"/>
          <w:sz w:val="24"/>
          <w:szCs w:val="24"/>
        </w:rPr>
      </w:pPr>
      <w:r>
        <w:rPr>
          <w:rFonts w:hint="eastAsia" w:ascii="微软雅黑" w:hAnsi="微软雅黑" w:eastAsia="微软雅黑" w:cs="微软雅黑"/>
          <w:b/>
          <w:kern w:val="0"/>
          <w:sz w:val="24"/>
          <w:szCs w:val="24"/>
        </w:rPr>
        <w:t>第3步：</w:t>
      </w:r>
      <w:r>
        <w:rPr>
          <w:rFonts w:hint="eastAsia" w:ascii="微软雅黑" w:hAnsi="微软雅黑" w:eastAsia="微软雅黑" w:cs="微软雅黑"/>
          <w:kern w:val="0"/>
          <w:sz w:val="24"/>
          <w:szCs w:val="24"/>
        </w:rPr>
        <w:t>针对扫描找到的待处理数据，根据其操作方式进行MES系统相关的业务表的增删改操作，当业务不能处理时，系统需返回不能处理的错误原因，如实际入库数量为10，现中间表修改数量为8，那么系统则返回数量已超出实际入库数量的错误信息，该错误信息可以在MES系统中查询；</w:t>
      </w:r>
    </w:p>
    <w:p>
      <w:pPr>
        <w:numPr>
          <w:ilvl w:val="0"/>
          <w:numId w:val="3"/>
        </w:numPr>
        <w:rPr>
          <w:rFonts w:ascii="微软雅黑" w:hAnsi="微软雅黑" w:eastAsia="微软雅黑" w:cs="微软雅黑"/>
          <w:kern w:val="0"/>
          <w:sz w:val="24"/>
          <w:szCs w:val="24"/>
        </w:rPr>
      </w:pPr>
      <w:r>
        <w:rPr>
          <w:rFonts w:hint="eastAsia" w:ascii="微软雅黑" w:hAnsi="微软雅黑" w:eastAsia="微软雅黑" w:cs="微软雅黑"/>
          <w:b/>
          <w:kern w:val="0"/>
          <w:sz w:val="24"/>
          <w:szCs w:val="24"/>
        </w:rPr>
        <w:t>第4步：</w:t>
      </w:r>
      <w:r>
        <w:rPr>
          <w:rFonts w:hint="eastAsia" w:ascii="微软雅黑" w:hAnsi="微软雅黑" w:eastAsia="微软雅黑" w:cs="微软雅黑"/>
          <w:kern w:val="0"/>
          <w:sz w:val="24"/>
          <w:szCs w:val="24"/>
        </w:rPr>
        <w:t>处理完成后，更新中间表的状态值由0改成1，并记录更新时间。</w:t>
      </w:r>
      <w:r>
        <w:rPr>
          <w:rFonts w:ascii="微软雅黑" w:hAnsi="微软雅黑" w:eastAsia="微软雅黑" w:cs="微软雅黑"/>
          <w:kern w:val="0"/>
          <w:sz w:val="24"/>
          <w:szCs w:val="24"/>
        </w:rPr>
        <w:t xml:space="preserve"> </w:t>
      </w:r>
    </w:p>
    <w:p>
      <w:pPr>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异常机制：</w:t>
      </w:r>
    </w:p>
    <w:p>
      <w:pPr>
        <w:spacing w:line="360" w:lineRule="auto"/>
        <w:ind w:firstLine="420"/>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当数量或金额变化时，在下游业务中的信息已经操作，则不能随意更改，如系统中已经入库10件，那么中间表的入库数量再次更改为8时，按照数量的严谨性，这种情况是不允许发生，所以系统返回错误信息</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szCs w:val="24"/>
        </w:rPr>
      </w:pPr>
      <w:r>
        <w:rPr>
          <w:rFonts w:hint="eastAsia" w:ascii="微软雅黑" w:hAnsi="微软雅黑" w:eastAsia="微软雅黑" w:cs="宋体"/>
          <w:b/>
          <w:bCs/>
          <w:sz w:val="24"/>
          <w:szCs w:val="24"/>
        </w:rPr>
        <w:t>说明：</w:t>
      </w:r>
      <w:r>
        <w:rPr>
          <w:rFonts w:hint="eastAsia" w:ascii="微软雅黑" w:hAnsi="微软雅黑" w:eastAsia="微软雅黑" w:cs="宋体"/>
          <w:sz w:val="24"/>
          <w:szCs w:val="24"/>
        </w:rPr>
        <w:t>上述功能设计仅供用户方评审方案用，实际项目开发内容可根据用户方的真实需求进行量体定制开发；</w:t>
      </w: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34" w:name="_Toc507241305"/>
      <w:r>
        <w:rPr>
          <w:rFonts w:hint="eastAsia" w:ascii="微软雅黑" w:hAnsi="微软雅黑" w:eastAsia="微软雅黑"/>
        </w:rPr>
        <w:t>2.2.1.2.2同步查询管理</w:t>
      </w:r>
      <w:bookmarkEnd w:id="34"/>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该模块主要用来查看接口同步处理程序处理的执行情况，可以查询处理结构和异常原因、处理时间、处理状态等。</w:t>
      </w:r>
    </w:p>
    <w:p>
      <w:pPr>
        <w:widowControl/>
        <w:jc w:val="left"/>
        <w:rPr>
          <w:rFonts w:ascii="微软雅黑" w:hAnsi="微软雅黑" w:eastAsia="微软雅黑" w:cs="微软雅黑"/>
          <w:b/>
          <w:bCs/>
          <w:sz w:val="28"/>
          <w:szCs w:val="28"/>
        </w:rPr>
      </w:pPr>
    </w:p>
    <w:p>
      <w:pPr>
        <w:widowControl/>
        <w:jc w:val="left"/>
        <w:rPr>
          <w:rFonts w:ascii="微软雅黑" w:hAnsi="微软雅黑" w:eastAsia="微软雅黑" w:cs="微软雅黑"/>
          <w:b/>
          <w:bCs/>
          <w:sz w:val="28"/>
          <w:szCs w:val="28"/>
        </w:rPr>
      </w:pPr>
      <w:r>
        <w:rPr>
          <w:rFonts w:ascii="微软雅黑" w:hAnsi="微软雅黑" w:eastAsia="微软雅黑" w:cs="微软雅黑"/>
          <w:szCs w:val="28"/>
        </w:rPr>
        <w:br w:type="page"/>
      </w:r>
    </w:p>
    <w:p>
      <w:pPr>
        <w:pStyle w:val="4"/>
        <w:spacing w:before="160" w:after="160"/>
        <w:rPr>
          <w:rFonts w:ascii="微软雅黑" w:hAnsi="微软雅黑" w:eastAsia="微软雅黑" w:cs="微软雅黑"/>
          <w:color w:val="auto"/>
          <w:szCs w:val="28"/>
          <w:lang w:val="en-US"/>
        </w:rPr>
      </w:pPr>
      <w:bookmarkStart w:id="35" w:name="_Toc508831135"/>
      <w:r>
        <w:rPr>
          <w:rFonts w:hint="eastAsia" w:ascii="微软雅黑" w:hAnsi="微软雅黑" w:eastAsia="微软雅黑" w:cs="微软雅黑"/>
          <w:color w:val="auto"/>
          <w:szCs w:val="28"/>
          <w:lang w:val="en-US"/>
        </w:rPr>
        <w:t>2.2.2生产订单管理</w:t>
      </w:r>
      <w:bookmarkEnd w:id="35"/>
    </w:p>
    <w:p>
      <w:pPr>
        <w:pStyle w:val="5"/>
        <w:rPr>
          <w:rFonts w:ascii="微软雅黑" w:hAnsi="微软雅黑" w:eastAsia="微软雅黑"/>
        </w:rPr>
      </w:pPr>
      <w:bookmarkStart w:id="36" w:name="_Toc508831136"/>
      <w:r>
        <w:rPr>
          <w:rFonts w:hint="eastAsia" w:ascii="微软雅黑" w:hAnsi="微软雅黑" w:eastAsia="微软雅黑"/>
        </w:rPr>
        <w:t>2.2.2.1</w:t>
      </w:r>
      <w:bookmarkStart w:id="37" w:name="_Toc10366"/>
      <w:bookmarkStart w:id="38" w:name="_Toc4788"/>
      <w:bookmarkStart w:id="39" w:name="_Toc23484"/>
      <w:r>
        <w:rPr>
          <w:rFonts w:hint="eastAsia" w:ascii="微软雅黑" w:hAnsi="微软雅黑" w:eastAsia="微软雅黑"/>
        </w:rPr>
        <w:t>业务流程</w:t>
      </w:r>
      <w:bookmarkEnd w:id="36"/>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1</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销售合同查询</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rPr>
              <w:t>E</w:t>
            </w:r>
            <w:r>
              <w:rPr>
                <w:rFonts w:ascii="微软雅黑" w:hAnsi="微软雅黑" w:eastAsia="微软雅黑" w:cs="微软雅黑"/>
              </w:rPr>
              <w:t>RP</w:t>
            </w:r>
            <w:r>
              <w:rPr>
                <w:rFonts w:hint="eastAsia" w:ascii="微软雅黑" w:hAnsi="微软雅黑" w:eastAsia="微软雅黑" w:cs="微软雅黑"/>
              </w:rPr>
              <w:t>系统传输销售合同到MES系统的中间表，MES系统自动同步中间表相关的销售合同数据到MES系统中，在本系统中提供销售合同查询模块，可以查询销售合同信息。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ascii="微软雅黑" w:hAnsi="微软雅黑" w:eastAsia="微软雅黑"/>
              </w:rPr>
              <w:object>
                <v:shape id="_x0000_i1065" o:spt="75" type="#_x0000_t75" style="height:257.25pt;width:439.5pt;" o:ole="t" filled="f" o:preferrelative="t" stroked="f" coordsize="21600,21600">
                  <v:path/>
                  <v:fill on="f" focussize="0,0"/>
                  <v:stroke on="f" joinstyle="miter"/>
                  <v:imagedata r:id="rId90" o:title=""/>
                  <o:lock v:ext="edit" aspectratio="t"/>
                  <w10:wrap type="none"/>
                  <w10:anchorlock/>
                </v:shape>
                <o:OLEObject Type="Embed" ProgID="Visio.Drawing.11" ShapeID="_x0000_i1065" DrawAspect="Content" ObjectID="_1468075765" r:id="rId89">
                  <o:LockedField>false</o:LockedField>
                </o:OLEObject>
              </w:object>
            </w:r>
          </w:p>
        </w:tc>
      </w:tr>
    </w:tbl>
    <w:p>
      <w:pPr>
        <w:rPr>
          <w:rFonts w:ascii="微软雅黑" w:hAnsi="微软雅黑" w:eastAsia="微软雅黑"/>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sz w:val="21"/>
                <w:szCs w:val="21"/>
              </w:rPr>
              <w:t>2</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销售合同明细查询流程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rPr>
              <w:t>E</w:t>
            </w:r>
            <w:r>
              <w:rPr>
                <w:rFonts w:ascii="微软雅黑" w:hAnsi="微软雅黑" w:eastAsia="微软雅黑" w:cs="微软雅黑"/>
              </w:rPr>
              <w:t>RP</w:t>
            </w:r>
            <w:r>
              <w:rPr>
                <w:rFonts w:hint="eastAsia" w:ascii="微软雅黑" w:hAnsi="微软雅黑" w:eastAsia="微软雅黑" w:cs="微软雅黑"/>
              </w:rPr>
              <w:t>系统传输销售合同明细到MES系统的中间表，MES系统自动同步中间表相关的销售合同明细数据到MES系统中，在本系统中提供销售合同明细查询模块，可以查询销售合同明细信息。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ascii="微软雅黑" w:hAnsi="微软雅黑" w:eastAsia="微软雅黑"/>
              </w:rPr>
              <w:object>
                <v:shape id="_x0000_i1066" o:spt="75" type="#_x0000_t75" style="height:246.75pt;width:421.5pt;" o:ole="t" filled="f" o:preferrelative="t" stroked="f" coordsize="21600,21600">
                  <v:path/>
                  <v:fill on="f" focussize="0,0"/>
                  <v:stroke on="f" joinstyle="miter"/>
                  <v:imagedata r:id="rId92" o:title=""/>
                  <o:lock v:ext="edit" aspectratio="t"/>
                  <w10:wrap type="none"/>
                  <w10:anchorlock/>
                </v:shape>
                <o:OLEObject Type="Embed" ProgID="Visio.Drawing.11" ShapeID="_x0000_i1066" DrawAspect="Content" ObjectID="_1468075766" r:id="rId9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3</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客户查询流程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snapToGrid w:val="0"/>
              <w:ind w:left="0"/>
              <w:rPr>
                <w:rFonts w:ascii="微软雅黑" w:hAnsi="微软雅黑" w:eastAsia="微软雅黑" w:cs="微软雅黑"/>
              </w:rPr>
            </w:pPr>
            <w:r>
              <w:rPr>
                <w:rFonts w:hint="eastAsia" w:ascii="微软雅黑" w:hAnsi="微软雅黑" w:eastAsia="微软雅黑" w:cs="微软雅黑"/>
              </w:rPr>
              <w:t>E</w:t>
            </w:r>
            <w:r>
              <w:rPr>
                <w:rFonts w:ascii="微软雅黑" w:hAnsi="微软雅黑" w:eastAsia="微软雅黑" w:cs="微软雅黑"/>
              </w:rPr>
              <w:t>RP</w:t>
            </w:r>
            <w:r>
              <w:rPr>
                <w:rFonts w:hint="eastAsia" w:ascii="微软雅黑" w:hAnsi="微软雅黑" w:eastAsia="微软雅黑" w:cs="微软雅黑"/>
              </w:rPr>
              <w:t>系统传输销售合同明细到MES系统的中间表，MES系统自动同步中间表相关的客户数据到MES系统中，在本系统中提供客户查询模块，可以查询客户信息。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ascii="微软雅黑" w:hAnsi="微软雅黑" w:eastAsia="微软雅黑"/>
              </w:rPr>
              <w:object>
                <v:shape id="_x0000_i1067" o:spt="75" type="#_x0000_t75" style="height:213.75pt;width:364.5pt;" o:ole="t" filled="f" o:preferrelative="t" stroked="f" coordsize="21600,21600">
                  <v:path/>
                  <v:fill on="f" focussize="0,0"/>
                  <v:stroke on="f" joinstyle="miter"/>
                  <v:imagedata r:id="rId94" o:title=""/>
                  <o:lock v:ext="edit" aspectratio="t"/>
                  <w10:wrap type="none"/>
                  <w10:anchorlock/>
                </v:shape>
                <o:OLEObject Type="Embed" ProgID="Visio.Drawing.11" ShapeID="_x0000_i1067" DrawAspect="Content" ObjectID="_1468075767" r:id="rId93">
                  <o:LockedField>false</o:LockedField>
                </o:OLEObject>
              </w:object>
            </w:r>
          </w:p>
        </w:tc>
      </w:tr>
    </w:tbl>
    <w:p>
      <w:pPr>
        <w:rPr>
          <w:rFonts w:ascii="微软雅黑" w:hAnsi="微软雅黑" w:eastAsia="微软雅黑"/>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4</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技术准备令查询流程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rPr>
              <w:t>E</w:t>
            </w:r>
            <w:r>
              <w:rPr>
                <w:rFonts w:ascii="微软雅黑" w:hAnsi="微软雅黑" w:eastAsia="微软雅黑" w:cs="微软雅黑"/>
              </w:rPr>
              <w:t>RP</w:t>
            </w:r>
            <w:r>
              <w:rPr>
                <w:rFonts w:hint="eastAsia" w:ascii="微软雅黑" w:hAnsi="微软雅黑" w:eastAsia="微软雅黑" w:cs="微软雅黑"/>
              </w:rPr>
              <w:t>系统传输销售合同明细到MES系统的中间表，MES系统自动同步中间表相关的技术准备令数据到MES系统中，在本系统中提供技术准备令查询模块，可以查询技术准备令信息。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ascii="微软雅黑" w:hAnsi="微软雅黑" w:eastAsia="微软雅黑"/>
              </w:rPr>
              <w:object>
                <v:shape id="_x0000_i1068" o:spt="75" type="#_x0000_t75" style="height:223.5pt;width:381.75pt;" o:ole="t" filled="f" o:preferrelative="t" stroked="f" coordsize="21600,21600">
                  <v:path/>
                  <v:fill on="f" focussize="0,0"/>
                  <v:stroke on="f" joinstyle="miter"/>
                  <v:imagedata r:id="rId96" o:title=""/>
                  <o:lock v:ext="edit" aspectratio="t"/>
                  <w10:wrap type="none"/>
                  <w10:anchorlock/>
                </v:shape>
                <o:OLEObject Type="Embed" ProgID="Visio.Drawing.11" ShapeID="_x0000_i1068" DrawAspect="Content" ObjectID="_1468075768" r:id="rId9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4</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生产令查询流程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snapToGrid w:val="0"/>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snapToGrid w:val="0"/>
              <w:ind w:left="0"/>
              <w:rPr>
                <w:rFonts w:ascii="微软雅黑" w:hAnsi="微软雅黑" w:eastAsia="微软雅黑" w:cs="微软雅黑"/>
              </w:rPr>
            </w:pPr>
            <w:r>
              <w:rPr>
                <w:rFonts w:hint="eastAsia" w:ascii="微软雅黑" w:hAnsi="微软雅黑" w:eastAsia="微软雅黑" w:cs="微软雅黑"/>
              </w:rPr>
              <w:t>E</w:t>
            </w:r>
            <w:r>
              <w:rPr>
                <w:rFonts w:ascii="微软雅黑" w:hAnsi="微软雅黑" w:eastAsia="微软雅黑" w:cs="微软雅黑"/>
              </w:rPr>
              <w:t>RP</w:t>
            </w:r>
            <w:r>
              <w:rPr>
                <w:rFonts w:hint="eastAsia" w:ascii="微软雅黑" w:hAnsi="微软雅黑" w:eastAsia="微软雅黑" w:cs="微软雅黑"/>
              </w:rPr>
              <w:t>系统传输销售合同明细到MES系统的中间表，MES系统自动同步中间表相关的生产令数据到MES系统中，在本系统中提供生产令查询模块，可以查询生产令信息。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ascii="微软雅黑" w:hAnsi="微软雅黑" w:eastAsia="微软雅黑"/>
              </w:rPr>
              <w:object>
                <v:shape id="_x0000_i1069" o:spt="75" type="#_x0000_t75" style="height:225pt;width:384pt;" o:ole="t" filled="f" o:preferrelative="t" stroked="f" coordsize="21600,21600">
                  <v:path/>
                  <v:fill on="f" focussize="0,0"/>
                  <v:stroke on="f" joinstyle="miter"/>
                  <v:imagedata r:id="rId98" o:title=""/>
                  <o:lock v:ext="edit" aspectratio="t"/>
                  <w10:wrap type="none"/>
                  <w10:anchorlock/>
                </v:shape>
                <o:OLEObject Type="Embed" ProgID="Visio.Drawing.11" ShapeID="_x0000_i1069" DrawAspect="Content" ObjectID="_1468075769" r:id="rId97">
                  <o:LockedField>false</o:LockedField>
                </o:OLEObject>
              </w:object>
            </w:r>
          </w:p>
        </w:tc>
      </w:tr>
    </w:tbl>
    <w:p>
      <w:pPr>
        <w:rPr>
          <w:rFonts w:ascii="微软雅黑" w:hAnsi="微软雅黑" w:eastAsia="微软雅黑"/>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4</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技术准备令管理流程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snapToGrid w:val="0"/>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snapToGrid w:val="0"/>
              <w:ind w:left="0"/>
              <w:rPr>
                <w:rFonts w:ascii="微软雅黑" w:hAnsi="微软雅黑" w:eastAsia="微软雅黑" w:cs="微软雅黑"/>
              </w:rPr>
            </w:pPr>
            <w:r>
              <w:rPr>
                <w:rFonts w:hint="eastAsia" w:ascii="微软雅黑" w:hAnsi="微软雅黑" w:eastAsia="微软雅黑" w:cs="微软雅黑"/>
              </w:rPr>
              <w:t>E</w:t>
            </w:r>
            <w:r>
              <w:rPr>
                <w:rFonts w:ascii="微软雅黑" w:hAnsi="微软雅黑" w:eastAsia="微软雅黑" w:cs="微软雅黑"/>
              </w:rPr>
              <w:t>RP</w:t>
            </w:r>
            <w:r>
              <w:rPr>
                <w:rFonts w:hint="eastAsia" w:ascii="微软雅黑" w:hAnsi="微软雅黑" w:eastAsia="微软雅黑" w:cs="微软雅黑"/>
              </w:rPr>
              <w:t>系统传输销售合同明细到MES系统的中间表，MES系统自动同步中间表相关的技术准备令数据到MES系统中，在本系统中提供技术准备令查询模块，可以查询技术准备令信息。如果技术准备令需要变更，可以进行本地维护，打印和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ascii="微软雅黑" w:hAnsi="微软雅黑" w:eastAsia="微软雅黑"/>
              </w:rPr>
              <w:object>
                <v:shape id="_x0000_i1070" o:spt="75" type="#_x0000_t75" style="height:217.5pt;width:371.25pt;" o:ole="t" filled="f" o:preferrelative="t" stroked="f" coordsize="21600,21600">
                  <v:path/>
                  <v:fill on="f" focussize="0,0"/>
                  <v:stroke on="f" joinstyle="miter"/>
                  <v:imagedata r:id="rId100" o:title=""/>
                  <o:lock v:ext="edit" aspectratio="t"/>
                  <w10:wrap type="none"/>
                  <w10:anchorlock/>
                </v:shape>
                <o:OLEObject Type="Embed" ProgID="Visio.Drawing.11" ShapeID="_x0000_i1070" DrawAspect="Content" ObjectID="_1468075770" r:id="rId9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4</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生产令查询流程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rPr>
              <w:t>E</w:t>
            </w:r>
            <w:r>
              <w:rPr>
                <w:rFonts w:ascii="微软雅黑" w:hAnsi="微软雅黑" w:eastAsia="微软雅黑" w:cs="微软雅黑"/>
              </w:rPr>
              <w:t>RP</w:t>
            </w:r>
            <w:r>
              <w:rPr>
                <w:rFonts w:hint="eastAsia" w:ascii="微软雅黑" w:hAnsi="微软雅黑" w:eastAsia="微软雅黑" w:cs="微软雅黑"/>
              </w:rPr>
              <w:t>系统传输销售合同明细到MES系统的中间表，MES系统自动同步中间表相关的生产令数据到MES系统中，在本系统中提供生产令查询模块，可以查询生产令信息。如果生产令需要变更，可以进行本地维护，打印和导出。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ascii="微软雅黑" w:hAnsi="微软雅黑" w:eastAsia="微软雅黑"/>
              </w:rPr>
              <w:object>
                <v:shape id="_x0000_i1071" o:spt="75" type="#_x0000_t75" style="height:246.75pt;width:421.5pt;" o:ole="t" filled="f" o:preferrelative="t" stroked="f" coordsize="21600,21600">
                  <v:path/>
                  <v:fill on="f" focussize="0,0"/>
                  <v:stroke on="f" joinstyle="miter"/>
                  <v:imagedata r:id="rId102" o:title=""/>
                  <o:lock v:ext="edit" aspectratio="t"/>
                  <w10:wrap type="none"/>
                  <w10:anchorlock/>
                </v:shape>
                <o:OLEObject Type="Embed" ProgID="Visio.Drawing.11" ShapeID="_x0000_i1071" DrawAspect="Content" ObjectID="_1468075771" r:id="rId101">
                  <o:LockedField>false</o:LockedField>
                </o:OLEObject>
              </w:object>
            </w:r>
          </w:p>
        </w:tc>
      </w:tr>
    </w:tbl>
    <w:p>
      <w:pPr>
        <w:rPr>
          <w:rFonts w:ascii="微软雅黑" w:hAnsi="微软雅黑" w:eastAsia="微软雅黑"/>
        </w:rPr>
      </w:pPr>
    </w:p>
    <w:p>
      <w:pPr>
        <w:pStyle w:val="5"/>
        <w:rPr>
          <w:rFonts w:ascii="微软雅黑" w:hAnsi="微软雅黑" w:eastAsia="微软雅黑"/>
        </w:rPr>
      </w:pPr>
      <w:bookmarkStart w:id="40" w:name="_Toc508831137"/>
      <w:r>
        <w:rPr>
          <w:rFonts w:hint="eastAsia" w:ascii="微软雅黑" w:hAnsi="微软雅黑" w:eastAsia="微软雅黑"/>
        </w:rPr>
        <w:t>2.2.2.2功能模块</w:t>
      </w:r>
      <w:bookmarkEnd w:id="40"/>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2.2.2.2.1客户查询</w:t>
      </w:r>
    </w:p>
    <w:p>
      <w:pPr>
        <w:pStyle w:val="17"/>
        <w:spacing w:line="360" w:lineRule="auto"/>
        <w:ind w:left="0" w:firstLine="420"/>
        <w:jc w:val="both"/>
        <w:rPr>
          <w:rFonts w:ascii="微软雅黑" w:hAnsi="微软雅黑" w:eastAsia="微软雅黑" w:cs="宋体"/>
          <w:kern w:val="2"/>
          <w:sz w:val="24"/>
          <w:szCs w:val="22"/>
        </w:rPr>
      </w:pPr>
      <w:r>
        <w:rPr>
          <w:rFonts w:hint="eastAsia" w:ascii="微软雅黑" w:hAnsi="微软雅黑" w:eastAsia="微软雅黑" w:cs="宋体"/>
          <w:kern w:val="2"/>
          <w:sz w:val="24"/>
          <w:szCs w:val="22"/>
        </w:rPr>
        <w:t>系统汇总销售客户信息，主要信息包括：客户编码、客户名称、地址、税号等信息。业务员可按照客户名称、地址等查询条件查看销售客户信息。</w:t>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该模块包含的主要系统操作有：</w:t>
      </w:r>
    </w:p>
    <w:p>
      <w:pPr>
        <w:numPr>
          <w:ilvl w:val="0"/>
          <w:numId w:val="4"/>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查询：</w:t>
      </w:r>
      <w:r>
        <w:rPr>
          <w:rFonts w:hint="eastAsia" w:ascii="微软雅黑" w:hAnsi="微软雅黑" w:eastAsia="微软雅黑" w:cs="微软雅黑"/>
          <w:sz w:val="24"/>
        </w:rPr>
        <w:t>查看客户信息，点击该功能按钮进行查询操作；</w:t>
      </w:r>
    </w:p>
    <w:p>
      <w:pPr>
        <w:numPr>
          <w:ilvl w:val="0"/>
          <w:numId w:val="4"/>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导出：</w:t>
      </w:r>
      <w:r>
        <w:rPr>
          <w:rFonts w:hint="eastAsia" w:ascii="微软雅黑" w:hAnsi="微软雅黑" w:eastAsia="微软雅黑" w:cs="微软雅黑"/>
          <w:sz w:val="24"/>
        </w:rPr>
        <w:t>点击该功能按钮进行导出客户信息，导出格式为XLS。</w:t>
      </w:r>
    </w:p>
    <w:p>
      <w:pPr>
        <w:rPr>
          <w:rFonts w:ascii="微软雅黑" w:hAnsi="微软雅黑" w:eastAsia="微软雅黑"/>
        </w:rPr>
      </w:pPr>
      <w:r>
        <w:rPr>
          <w:rFonts w:ascii="微软雅黑" w:hAnsi="微软雅黑" w:eastAsia="微软雅黑"/>
        </w:rPr>
        <w:drawing>
          <wp:inline distT="0" distB="0" distL="0" distR="0">
            <wp:extent cx="6300470" cy="2324735"/>
            <wp:effectExtent l="0" t="0" r="508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03" cstate="print"/>
                    <a:stretch>
                      <a:fillRect/>
                    </a:stretch>
                  </pic:blipFill>
                  <pic:spPr>
                    <a:xfrm>
                      <a:off x="0" y="0"/>
                      <a:ext cx="6300470" cy="2324735"/>
                    </a:xfrm>
                    <a:prstGeom prst="rect">
                      <a:avLst/>
                    </a:prstGeom>
                  </pic:spPr>
                </pic:pic>
              </a:graphicData>
            </a:graphic>
          </wp:inline>
        </w:drawing>
      </w:r>
    </w:p>
    <w:p>
      <w:pPr>
        <w:spacing w:line="360" w:lineRule="auto"/>
        <w:jc w:val="center"/>
        <w:rPr>
          <w:rFonts w:ascii="微软雅黑" w:hAnsi="微软雅黑" w:eastAsia="微软雅黑" w:cs="微软雅黑"/>
          <w:sz w:val="24"/>
        </w:rPr>
      </w:pPr>
      <w:r>
        <w:rPr>
          <w:rFonts w:hint="eastAsia" w:ascii="微软雅黑" w:hAnsi="微软雅黑" w:eastAsia="微软雅黑" w:cs="微软雅黑"/>
          <w:sz w:val="24"/>
        </w:rPr>
        <w:t>（客户查询参考界面）</w:t>
      </w:r>
    </w:p>
    <w:p>
      <w:pPr>
        <w:jc w:val="center"/>
        <w:rPr>
          <w:rFonts w:ascii="微软雅黑" w:hAnsi="微软雅黑" w:eastAsia="微软雅黑"/>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2.2.2.2.2合同查询</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合同查询信息包括：合同基本信息、客户信息等。业务员可按照合同号、客户名称、归属部门、归属人、交货日期、签订日期、合同额等查询条件查看销售合同信息，系统有权限控制，只有授权的业务员可查看权限内的销售合同信息。</w:t>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该模块包含的主要系统操作有：</w:t>
      </w:r>
    </w:p>
    <w:p>
      <w:pPr>
        <w:numPr>
          <w:ilvl w:val="0"/>
          <w:numId w:val="5"/>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查询：</w:t>
      </w:r>
      <w:r>
        <w:rPr>
          <w:rFonts w:hint="eastAsia" w:ascii="微软雅黑" w:hAnsi="微软雅黑" w:eastAsia="微软雅黑" w:cs="微软雅黑"/>
          <w:sz w:val="24"/>
        </w:rPr>
        <w:t>查看合同基本信息，点击该功能按钮进行查询操作；</w:t>
      </w:r>
    </w:p>
    <w:p>
      <w:pPr>
        <w:numPr>
          <w:ilvl w:val="0"/>
          <w:numId w:val="5"/>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浏览：</w:t>
      </w:r>
      <w:r>
        <w:rPr>
          <w:rFonts w:hint="eastAsia" w:ascii="微软雅黑" w:hAnsi="微软雅黑" w:eastAsia="微软雅黑" w:cs="微软雅黑"/>
          <w:sz w:val="24"/>
        </w:rPr>
        <w:t>查看该合同的明细信息，点击该功能按钮进行查询操作；</w:t>
      </w:r>
    </w:p>
    <w:p>
      <w:pPr>
        <w:numPr>
          <w:ilvl w:val="0"/>
          <w:numId w:val="5"/>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导出：</w:t>
      </w:r>
      <w:r>
        <w:rPr>
          <w:rFonts w:hint="eastAsia" w:ascii="微软雅黑" w:hAnsi="微软雅黑" w:eastAsia="微软雅黑" w:cs="微软雅黑"/>
          <w:sz w:val="24"/>
        </w:rPr>
        <w:t>点击该功能按钮进行导出合同信息，导出格式为XLS。</w:t>
      </w:r>
    </w:p>
    <w:p>
      <w:pPr>
        <w:spacing w:line="360" w:lineRule="auto"/>
        <w:ind w:firstLine="420"/>
        <w:rPr>
          <w:rFonts w:ascii="微软雅黑" w:hAnsi="微软雅黑" w:eastAsia="微软雅黑" w:cs="宋体"/>
          <w:sz w:val="24"/>
        </w:rPr>
      </w:pPr>
    </w:p>
    <w:p>
      <w:pPr>
        <w:widowControl/>
        <w:jc w:val="left"/>
        <w:rPr>
          <w:rFonts w:ascii="宋体" w:hAnsi="宋体" w:eastAsia="宋体" w:cs="宋体"/>
          <w:kern w:val="0"/>
          <w:sz w:val="24"/>
          <w:szCs w:val="24"/>
        </w:rPr>
      </w:pPr>
      <w:r>
        <w:drawing>
          <wp:inline distT="0" distB="0" distL="0" distR="0">
            <wp:extent cx="6300470" cy="151003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4" cstate="print"/>
                    <a:stretch>
                      <a:fillRect/>
                    </a:stretch>
                  </pic:blipFill>
                  <pic:spPr>
                    <a:xfrm>
                      <a:off x="0" y="0"/>
                      <a:ext cx="6300470" cy="1510030"/>
                    </a:xfrm>
                    <a:prstGeom prst="rect">
                      <a:avLst/>
                    </a:prstGeom>
                  </pic:spPr>
                </pic:pic>
              </a:graphicData>
            </a:graphic>
          </wp:inline>
        </w:drawing>
      </w:r>
    </w:p>
    <w:p>
      <w:pPr>
        <w:jc w:val="center"/>
        <w:rPr>
          <w:rFonts w:ascii="微软雅黑" w:hAnsi="微软雅黑" w:eastAsia="微软雅黑"/>
          <w:sz w:val="24"/>
          <w:szCs w:val="24"/>
        </w:rPr>
      </w:pPr>
      <w:r>
        <w:rPr>
          <w:rFonts w:hint="eastAsia" w:ascii="微软雅黑" w:hAnsi="微软雅黑" w:eastAsia="微软雅黑"/>
          <w:sz w:val="24"/>
          <w:szCs w:val="24"/>
        </w:rPr>
        <w:t>（合同查询参考界面）</w:t>
      </w:r>
    </w:p>
    <w:p>
      <w:pPr>
        <w:jc w:val="center"/>
        <w:rPr>
          <w:rFonts w:ascii="微软雅黑" w:hAnsi="微软雅黑" w:eastAsia="微软雅黑"/>
          <w:sz w:val="24"/>
          <w:szCs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2.2.2.2.3合同明细查询</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合同明细查询信息包括：合同基本信息、客户信息、产品信息等。产品信息又包括产品编码、产品名称、订货数量、单重、总重、单价、总价、税率等。业务员可按照合同号、客户名称、归属部门、归属人、交货日期、签订日期等查询条件查看销售合同明细信息，系统有权限控制，只有授权的业务员可查看权限内的销售合同明细信息。</w:t>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该模块包含的主要系统操作有：</w:t>
      </w:r>
    </w:p>
    <w:p>
      <w:pPr>
        <w:numPr>
          <w:ilvl w:val="0"/>
          <w:numId w:val="6"/>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查询：</w:t>
      </w:r>
      <w:r>
        <w:rPr>
          <w:rFonts w:hint="eastAsia" w:ascii="微软雅黑" w:hAnsi="微软雅黑" w:eastAsia="微软雅黑" w:cs="微软雅黑"/>
          <w:sz w:val="24"/>
        </w:rPr>
        <w:t>查看合同明细信息，点击该功能按钮进行查询操作；</w:t>
      </w:r>
    </w:p>
    <w:p>
      <w:pPr>
        <w:numPr>
          <w:ilvl w:val="0"/>
          <w:numId w:val="6"/>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导出：</w:t>
      </w:r>
      <w:r>
        <w:rPr>
          <w:rFonts w:hint="eastAsia" w:ascii="微软雅黑" w:hAnsi="微软雅黑" w:eastAsia="微软雅黑" w:cs="微软雅黑"/>
          <w:sz w:val="24"/>
        </w:rPr>
        <w:t>点击该功能按钮进行导出合同明细信息，导出格式为XLS。</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300470" cy="1524000"/>
            <wp:effectExtent l="19050" t="0" r="508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105" cstate="print"/>
                    <a:srcRect/>
                    <a:stretch>
                      <a:fillRect/>
                    </a:stretch>
                  </pic:blipFill>
                  <pic:spPr>
                    <a:xfrm>
                      <a:off x="0" y="0"/>
                      <a:ext cx="6300470" cy="1524413"/>
                    </a:xfrm>
                    <a:prstGeom prst="rect">
                      <a:avLst/>
                    </a:prstGeom>
                    <a:noFill/>
                    <a:ln w="9525">
                      <a:noFill/>
                      <a:miter lim="800000"/>
                      <a:headEnd/>
                      <a:tailEnd/>
                    </a:ln>
                  </pic:spPr>
                </pic:pic>
              </a:graphicData>
            </a:graphic>
          </wp:inline>
        </w:drawing>
      </w:r>
    </w:p>
    <w:p>
      <w:pPr>
        <w:jc w:val="center"/>
        <w:rPr>
          <w:rFonts w:ascii="微软雅黑" w:hAnsi="微软雅黑" w:eastAsia="微软雅黑"/>
          <w:sz w:val="24"/>
          <w:szCs w:val="24"/>
        </w:rPr>
      </w:pPr>
      <w:r>
        <w:rPr>
          <w:rFonts w:hint="eastAsia" w:ascii="微软雅黑" w:hAnsi="微软雅黑" w:eastAsia="微软雅黑"/>
          <w:sz w:val="24"/>
          <w:szCs w:val="24"/>
        </w:rPr>
        <w:t>（合同明细查询参考界面）</w:t>
      </w:r>
    </w:p>
    <w:p>
      <w:pPr>
        <w:jc w:val="center"/>
        <w:rPr>
          <w:rFonts w:ascii="微软雅黑" w:hAnsi="微软雅黑" w:eastAsia="微软雅黑"/>
          <w:sz w:val="24"/>
          <w:szCs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2.2.2.2.4技术准备令查询</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技术准备令查询包括：工作令号、图号、产品规格名称、单位、数量、合同号、合同规定交货日期、订货单位等。业务员可按照工作令号号、合同号、图号、订货单位、交货日期、签订日期等查询条件查看技术准备令信息，系统有权限控制，只有授权的业务员可查看权限内的技术准备令信息。</w:t>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该模块包含的主要系统操作有：</w:t>
      </w:r>
    </w:p>
    <w:p>
      <w:pPr>
        <w:numPr>
          <w:ilvl w:val="0"/>
          <w:numId w:val="7"/>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查询：</w:t>
      </w:r>
      <w:r>
        <w:rPr>
          <w:rFonts w:hint="eastAsia" w:ascii="微软雅黑" w:hAnsi="微软雅黑" w:eastAsia="微软雅黑" w:cs="微软雅黑"/>
          <w:sz w:val="24"/>
        </w:rPr>
        <w:t>查看技术准备令信息，点击该功能按钮进行查询操作；</w:t>
      </w:r>
    </w:p>
    <w:p>
      <w:pPr>
        <w:numPr>
          <w:ilvl w:val="0"/>
          <w:numId w:val="7"/>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导出：</w:t>
      </w:r>
      <w:r>
        <w:rPr>
          <w:rFonts w:hint="eastAsia" w:ascii="微软雅黑" w:hAnsi="微软雅黑" w:eastAsia="微软雅黑" w:cs="微软雅黑"/>
          <w:sz w:val="24"/>
        </w:rPr>
        <w:t>点击该功能按钮进行导出信息，导出格式为XLS。</w:t>
      </w:r>
    </w:p>
    <w:p>
      <w:pPr>
        <w:widowControl/>
        <w:jc w:val="left"/>
      </w:pPr>
      <w:r>
        <w:drawing>
          <wp:inline distT="0" distB="0" distL="0" distR="0">
            <wp:extent cx="6300470" cy="1397000"/>
            <wp:effectExtent l="19050" t="0" r="508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106" cstate="print"/>
                    <a:srcRect/>
                    <a:stretch>
                      <a:fillRect/>
                    </a:stretch>
                  </pic:blipFill>
                  <pic:spPr>
                    <a:xfrm>
                      <a:off x="0" y="0"/>
                      <a:ext cx="6300470" cy="1397119"/>
                    </a:xfrm>
                    <a:prstGeom prst="rect">
                      <a:avLst/>
                    </a:prstGeom>
                    <a:noFill/>
                    <a:ln w="9525">
                      <a:noFill/>
                      <a:miter lim="800000"/>
                      <a:headEnd/>
                      <a:tailEnd/>
                    </a:ln>
                  </pic:spPr>
                </pic:pic>
              </a:graphicData>
            </a:graphic>
          </wp:inline>
        </w:drawing>
      </w:r>
    </w:p>
    <w:p>
      <w:pPr>
        <w:jc w:val="center"/>
        <w:rPr>
          <w:rFonts w:ascii="微软雅黑" w:hAnsi="微软雅黑" w:eastAsia="微软雅黑"/>
          <w:sz w:val="24"/>
          <w:szCs w:val="24"/>
        </w:rPr>
      </w:pPr>
      <w:r>
        <w:rPr>
          <w:rFonts w:hint="eastAsia" w:ascii="微软雅黑" w:hAnsi="微软雅黑" w:eastAsia="微软雅黑"/>
          <w:sz w:val="24"/>
          <w:szCs w:val="24"/>
        </w:rPr>
        <w:t>（技术准备令查询参考界面）</w:t>
      </w:r>
    </w:p>
    <w:p>
      <w:pPr>
        <w:jc w:val="center"/>
        <w:rPr>
          <w:rFonts w:ascii="微软雅黑" w:hAnsi="微软雅黑" w:eastAsia="微软雅黑"/>
          <w:sz w:val="24"/>
          <w:szCs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2.2.2.2.5生产令查询</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生产令查询包括：工作令号、图号、产品规格名称、单位、数量、合同号、合同规定交货日期、订货单位等。业务员可按照工作令号号、合同号、图号、订货单位、交货日期、签订日期等查询条件查看生产令信息，系统有权限控制，只有授权的业务员可查看权限内的生产令信息。</w:t>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该模块包含的主要系统操作有：</w:t>
      </w:r>
    </w:p>
    <w:p>
      <w:pPr>
        <w:numPr>
          <w:ilvl w:val="0"/>
          <w:numId w:val="8"/>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查询：</w:t>
      </w:r>
      <w:r>
        <w:rPr>
          <w:rFonts w:hint="eastAsia" w:ascii="微软雅黑" w:hAnsi="微软雅黑" w:eastAsia="微软雅黑" w:cs="微软雅黑"/>
          <w:sz w:val="24"/>
        </w:rPr>
        <w:t>查看生产令信息，点击该功能按钮进行查询操作；</w:t>
      </w:r>
    </w:p>
    <w:p>
      <w:pPr>
        <w:numPr>
          <w:ilvl w:val="0"/>
          <w:numId w:val="8"/>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导出：</w:t>
      </w:r>
      <w:r>
        <w:rPr>
          <w:rFonts w:hint="eastAsia" w:ascii="微软雅黑" w:hAnsi="微软雅黑" w:eastAsia="微软雅黑" w:cs="微软雅黑"/>
          <w:sz w:val="24"/>
        </w:rPr>
        <w:t>点击该功能按钮进行导出信息，导出格式为XLS。</w:t>
      </w:r>
    </w:p>
    <w:p>
      <w:pPr>
        <w:rPr>
          <w:rFonts w:ascii="微软雅黑" w:hAnsi="微软雅黑" w:eastAsia="微软雅黑"/>
        </w:rPr>
      </w:pPr>
      <w:r>
        <w:rPr>
          <w:rFonts w:ascii="微软雅黑" w:hAnsi="微软雅黑" w:eastAsia="微软雅黑"/>
        </w:rPr>
        <w:drawing>
          <wp:inline distT="0" distB="0" distL="0" distR="0">
            <wp:extent cx="6300470" cy="1393825"/>
            <wp:effectExtent l="19050" t="0" r="508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107" cstate="print"/>
                    <a:srcRect/>
                    <a:stretch>
                      <a:fillRect/>
                    </a:stretch>
                  </pic:blipFill>
                  <pic:spPr>
                    <a:xfrm>
                      <a:off x="0" y="0"/>
                      <a:ext cx="6300470" cy="1394147"/>
                    </a:xfrm>
                    <a:prstGeom prst="rect">
                      <a:avLst/>
                    </a:prstGeom>
                    <a:noFill/>
                    <a:ln w="9525">
                      <a:noFill/>
                      <a:miter lim="800000"/>
                      <a:headEnd/>
                      <a:tailEnd/>
                    </a:ln>
                  </pic:spPr>
                </pic:pic>
              </a:graphicData>
            </a:graphic>
          </wp:inline>
        </w:drawing>
      </w:r>
    </w:p>
    <w:p>
      <w:pPr>
        <w:snapToGrid w:val="0"/>
        <w:jc w:val="center"/>
        <w:rPr>
          <w:rFonts w:ascii="微软雅黑" w:hAnsi="微软雅黑" w:eastAsia="微软雅黑"/>
          <w:sz w:val="24"/>
          <w:szCs w:val="24"/>
        </w:rPr>
      </w:pPr>
      <w:r>
        <w:rPr>
          <w:rFonts w:hint="eastAsia" w:ascii="微软雅黑" w:hAnsi="微软雅黑" w:eastAsia="微软雅黑"/>
          <w:sz w:val="24"/>
          <w:szCs w:val="24"/>
        </w:rPr>
        <w:t>（生产令查询参考界面）</w:t>
      </w:r>
    </w:p>
    <w:p>
      <w:pPr>
        <w:widowControl/>
        <w:jc w:val="left"/>
        <w:rPr>
          <w:rFonts w:ascii="微软雅黑" w:hAnsi="微软雅黑" w:eastAsia="微软雅黑" w:cs="微软雅黑"/>
          <w:b/>
          <w:bCs/>
          <w:sz w:val="28"/>
          <w:szCs w:val="28"/>
        </w:rPr>
      </w:pPr>
      <w:r>
        <w:rPr>
          <w:rFonts w:ascii="微软雅黑" w:hAnsi="微软雅黑" w:eastAsia="微软雅黑" w:cs="微软雅黑"/>
          <w:szCs w:val="28"/>
        </w:rPr>
        <w:br w:type="page"/>
      </w:r>
    </w:p>
    <w:p>
      <w:pPr>
        <w:pStyle w:val="4"/>
        <w:spacing w:before="160" w:after="160"/>
        <w:rPr>
          <w:rFonts w:ascii="微软雅黑" w:hAnsi="微软雅黑" w:eastAsia="微软雅黑" w:cs="微软雅黑"/>
          <w:color w:val="auto"/>
          <w:szCs w:val="28"/>
          <w:lang w:val="en-US"/>
        </w:rPr>
      </w:pPr>
      <w:bookmarkStart w:id="41" w:name="_Toc508831138"/>
      <w:r>
        <w:rPr>
          <w:rFonts w:hint="eastAsia" w:ascii="微软雅黑" w:hAnsi="微软雅黑" w:eastAsia="微软雅黑" w:cs="微软雅黑"/>
          <w:color w:val="auto"/>
          <w:szCs w:val="28"/>
          <w:lang w:val="en-US"/>
        </w:rPr>
        <w:t>2.2.3BOM管理</w:t>
      </w:r>
      <w:bookmarkEnd w:id="41"/>
    </w:p>
    <w:p>
      <w:pPr>
        <w:pStyle w:val="5"/>
        <w:rPr>
          <w:rFonts w:ascii="微软雅黑" w:hAnsi="微软雅黑" w:eastAsia="微软雅黑"/>
        </w:rPr>
      </w:pPr>
      <w:bookmarkStart w:id="42" w:name="_Toc508831139"/>
      <w:r>
        <w:rPr>
          <w:rFonts w:hint="eastAsia" w:ascii="微软雅黑" w:hAnsi="微软雅黑" w:eastAsia="微软雅黑"/>
        </w:rPr>
        <w:t>2.2.3.1业务流程</w:t>
      </w:r>
      <w:bookmarkEnd w:id="42"/>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sz w:val="21"/>
                <w:szCs w:val="21"/>
              </w:rPr>
              <w:t>1</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技术准备总流程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rPr>
              <w:t>系统从erp数据中提取相应数据，实现相应查询功能。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ascii="微软雅黑" w:hAnsi="微软雅黑" w:eastAsia="微软雅黑"/>
              </w:rPr>
              <w:object>
                <v:shape id="_x0000_i1072" o:spt="75" type="#_x0000_t75" style="height:230.25pt;width:402.75pt;" o:ole="t" filled="f" o:preferrelative="t" stroked="f" coordsize="21600,21600">
                  <v:path/>
                  <v:fill on="f" focussize="0,0"/>
                  <v:stroke on="f" joinstyle="miter"/>
                  <v:imagedata r:id="rId109" o:title=""/>
                  <o:lock v:ext="edit" aspectratio="t"/>
                  <w10:wrap type="none"/>
                  <w10:anchorlock/>
                </v:shape>
                <o:OLEObject Type="Embed" ProgID="Visio.Drawing.11" ShapeID="_x0000_i1072" DrawAspect="Content" ObjectID="_1468075772" r:id="rId108">
                  <o:LockedField>false</o:LockedField>
                </o:OLEObject>
              </w:object>
            </w:r>
          </w:p>
        </w:tc>
      </w:tr>
    </w:tbl>
    <w:p>
      <w:pPr>
        <w:rPr>
          <w:rFonts w:ascii="微软雅黑" w:hAnsi="微软雅黑" w:eastAsia="微软雅黑"/>
          <w:lang w:val="zh-CN"/>
        </w:rPr>
      </w:pPr>
    </w:p>
    <w:p>
      <w:pPr>
        <w:pStyle w:val="5"/>
        <w:rPr>
          <w:rFonts w:ascii="微软雅黑" w:hAnsi="微软雅黑" w:eastAsia="微软雅黑"/>
        </w:rPr>
      </w:pPr>
      <w:bookmarkStart w:id="43" w:name="_Toc508831140"/>
      <w:r>
        <w:rPr>
          <w:rFonts w:hint="eastAsia" w:ascii="微软雅黑" w:hAnsi="微软雅黑" w:eastAsia="微软雅黑"/>
        </w:rPr>
        <w:t>2.2.3.2功能模块</w:t>
      </w:r>
      <w:bookmarkEnd w:id="43"/>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2.2.2.2.1物料查询</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物料查询信息包括：物料编码、物料名称、图号、规格、材质、单重、单价等。业务员可按照物料编码、物料名称、图号、规格、材质等查询条件查看物料信息，系统有权限控制，只有授权的业务员可查看权限内的物料信息。</w:t>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该模块包含的主要系统操作有：</w:t>
      </w:r>
    </w:p>
    <w:p>
      <w:pPr>
        <w:numPr>
          <w:ilvl w:val="0"/>
          <w:numId w:val="9"/>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查询：</w:t>
      </w:r>
      <w:r>
        <w:rPr>
          <w:rFonts w:hint="eastAsia" w:ascii="微软雅黑" w:hAnsi="微软雅黑" w:eastAsia="微软雅黑" w:cs="微软雅黑"/>
          <w:sz w:val="24"/>
        </w:rPr>
        <w:t>查看物料信息，点击该功能按钮进行查询操作；</w:t>
      </w:r>
    </w:p>
    <w:p>
      <w:pPr>
        <w:numPr>
          <w:ilvl w:val="0"/>
          <w:numId w:val="9"/>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导出：</w:t>
      </w:r>
      <w:r>
        <w:rPr>
          <w:rFonts w:hint="eastAsia" w:ascii="微软雅黑" w:hAnsi="微软雅黑" w:eastAsia="微软雅黑" w:cs="微软雅黑"/>
          <w:sz w:val="24"/>
        </w:rPr>
        <w:t>点击该功能按钮进行导出信息，导出格式为XLS。</w:t>
      </w:r>
    </w:p>
    <w:p>
      <w:pPr>
        <w:spacing w:line="360" w:lineRule="auto"/>
        <w:ind w:firstLine="420"/>
        <w:rPr>
          <w:rFonts w:ascii="微软雅黑" w:hAnsi="微软雅黑" w:eastAsia="微软雅黑" w:cs="宋体"/>
          <w:sz w:val="24"/>
        </w:rPr>
      </w:pPr>
      <w:r>
        <w:rPr>
          <w:rFonts w:ascii="微软雅黑" w:hAnsi="微软雅黑" w:eastAsia="微软雅黑" w:cs="宋体"/>
          <w:sz w:val="24"/>
        </w:rPr>
        <w:drawing>
          <wp:inline distT="0" distB="0" distL="0" distR="0">
            <wp:extent cx="6014720" cy="1113790"/>
            <wp:effectExtent l="19050" t="0" r="508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10" cstate="print"/>
                    <a:srcRect/>
                    <a:stretch>
                      <a:fillRect/>
                    </a:stretch>
                  </pic:blipFill>
                  <pic:spPr>
                    <a:xfrm>
                      <a:off x="0" y="0"/>
                      <a:ext cx="6014720" cy="1114057"/>
                    </a:xfrm>
                    <a:prstGeom prst="rect">
                      <a:avLst/>
                    </a:prstGeom>
                    <a:noFill/>
                    <a:ln w="9525">
                      <a:noFill/>
                      <a:miter lim="800000"/>
                      <a:headEnd/>
                      <a:tailEnd/>
                    </a:ln>
                  </pic:spPr>
                </pic:pic>
              </a:graphicData>
            </a:graphic>
          </wp:inline>
        </w:drawing>
      </w:r>
    </w:p>
    <w:p>
      <w:pPr>
        <w:jc w:val="center"/>
        <w:rPr>
          <w:rFonts w:ascii="微软雅黑" w:hAnsi="微软雅黑" w:eastAsia="微软雅黑"/>
          <w:sz w:val="24"/>
          <w:szCs w:val="24"/>
        </w:rPr>
      </w:pPr>
      <w:r>
        <w:rPr>
          <w:rFonts w:hint="eastAsia" w:ascii="微软雅黑" w:hAnsi="微软雅黑" w:eastAsia="微软雅黑"/>
          <w:sz w:val="24"/>
          <w:szCs w:val="24"/>
        </w:rPr>
        <w:t>（物料查询参考界面）</w:t>
      </w:r>
    </w:p>
    <w:p>
      <w:pPr>
        <w:spacing w:line="360" w:lineRule="auto"/>
        <w:ind w:firstLine="420"/>
        <w:rPr>
          <w:rFonts w:ascii="微软雅黑" w:hAnsi="微软雅黑" w:eastAsia="微软雅黑" w:cs="宋体"/>
          <w:sz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2.2.2.2.2BOM查询</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BOM查询信息包括：物料编码、物料名称、图号、规格、材质、单重、单价、总重、总价、数量、是否是零部件等。业务员可按照物料编码、物料名称、图号、规格、材质等查询条件查看BOM信息，BOM信息可以按表格方式查询或树结构形式展开查询。系统有权限控制，只有授权的业务员可查看权限内的BOM信息。</w:t>
      </w:r>
    </w:p>
    <w:p>
      <w:pPr>
        <w:numPr>
          <w:ilvl w:val="0"/>
          <w:numId w:val="10"/>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查询：</w:t>
      </w:r>
      <w:r>
        <w:rPr>
          <w:rFonts w:hint="eastAsia" w:ascii="微软雅黑" w:hAnsi="微软雅黑" w:eastAsia="微软雅黑" w:cs="微软雅黑"/>
          <w:sz w:val="24"/>
        </w:rPr>
        <w:t>查看BOM信息，点击该功能按钮进行查询操作；</w:t>
      </w:r>
    </w:p>
    <w:p>
      <w:pPr>
        <w:numPr>
          <w:ilvl w:val="0"/>
          <w:numId w:val="10"/>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导出：</w:t>
      </w:r>
      <w:r>
        <w:rPr>
          <w:rFonts w:hint="eastAsia" w:ascii="微软雅黑" w:hAnsi="微软雅黑" w:eastAsia="微软雅黑" w:cs="微软雅黑"/>
          <w:sz w:val="24"/>
        </w:rPr>
        <w:t>点击该功能按钮进行导出信息，导出格式为XLS。</w:t>
      </w:r>
    </w:p>
    <w:p>
      <w:pPr>
        <w:spacing w:line="360" w:lineRule="auto"/>
        <w:rPr>
          <w:rFonts w:ascii="微软雅黑" w:hAnsi="微软雅黑" w:eastAsia="微软雅黑" w:cs="宋体"/>
          <w:sz w:val="24"/>
        </w:rPr>
      </w:pPr>
      <w:r>
        <w:rPr>
          <w:rFonts w:ascii="微软雅黑" w:hAnsi="微软雅黑" w:eastAsia="微软雅黑" w:cs="宋体"/>
          <w:sz w:val="24"/>
        </w:rPr>
        <w:drawing>
          <wp:inline distT="0" distB="0" distL="0" distR="0">
            <wp:extent cx="6300470" cy="1138555"/>
            <wp:effectExtent l="19050" t="0" r="508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111" cstate="print"/>
                    <a:srcRect/>
                    <a:stretch>
                      <a:fillRect/>
                    </a:stretch>
                  </pic:blipFill>
                  <pic:spPr>
                    <a:xfrm>
                      <a:off x="0" y="0"/>
                      <a:ext cx="6300470" cy="1138639"/>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（BOM查询参考界面）</w:t>
      </w:r>
    </w:p>
    <w:p>
      <w:pPr>
        <w:spacing w:line="360" w:lineRule="auto"/>
        <w:rPr>
          <w:rFonts w:ascii="微软雅黑" w:hAnsi="微软雅黑" w:eastAsia="微软雅黑" w:cs="宋体"/>
          <w:sz w:val="24"/>
        </w:rPr>
      </w:pPr>
      <w:r>
        <w:rPr>
          <w:rFonts w:ascii="微软雅黑" w:hAnsi="微软雅黑" w:eastAsia="微软雅黑" w:cs="宋体"/>
          <w:sz w:val="24"/>
        </w:rPr>
        <w:drawing>
          <wp:inline distT="0" distB="0" distL="0" distR="0">
            <wp:extent cx="6300470" cy="2840355"/>
            <wp:effectExtent l="19050" t="0" r="508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112" cstate="print"/>
                    <a:srcRect/>
                    <a:stretch>
                      <a:fillRect/>
                    </a:stretch>
                  </pic:blipFill>
                  <pic:spPr>
                    <a:xfrm>
                      <a:off x="0" y="0"/>
                      <a:ext cx="6300470" cy="2840643"/>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（BOM展开树结构方式参考界面）</w:t>
      </w:r>
    </w:p>
    <w:p>
      <w:pPr>
        <w:spacing w:line="360" w:lineRule="auto"/>
        <w:rPr>
          <w:rFonts w:ascii="微软雅黑" w:hAnsi="微软雅黑" w:eastAsia="微软雅黑" w:cs="宋体"/>
          <w:sz w:val="24"/>
        </w:rPr>
      </w:pPr>
      <w:r>
        <w:rPr>
          <w:rFonts w:ascii="微软雅黑" w:hAnsi="微软雅黑" w:eastAsia="微软雅黑"/>
        </w:rPr>
        <w:drawing>
          <wp:inline distT="0" distB="0" distL="0" distR="0">
            <wp:extent cx="6300470" cy="3479800"/>
            <wp:effectExtent l="0" t="0" r="5080" b="635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13" cstate="print"/>
                    <a:stretch>
                      <a:fillRect/>
                    </a:stretch>
                  </pic:blipFill>
                  <pic:spPr>
                    <a:xfrm>
                      <a:off x="0" y="0"/>
                      <a:ext cx="6300470" cy="3479800"/>
                    </a:xfrm>
                    <a:prstGeom prst="rect">
                      <a:avLst/>
                    </a:prstGeom>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（BOM展开表格方式参考界面）</w:t>
      </w:r>
    </w:p>
    <w:p>
      <w:pPr>
        <w:spacing w:line="360" w:lineRule="auto"/>
        <w:rPr>
          <w:rFonts w:ascii="微软雅黑" w:hAnsi="微软雅黑" w:eastAsia="微软雅黑" w:cs="宋体"/>
          <w:sz w:val="24"/>
        </w:rPr>
      </w:pPr>
      <w:r>
        <w:rPr>
          <w:rFonts w:ascii="微软雅黑" w:hAnsi="微软雅黑" w:eastAsia="微软雅黑"/>
        </w:rPr>
        <w:drawing>
          <wp:inline distT="0" distB="0" distL="0" distR="0">
            <wp:extent cx="6300470" cy="3267710"/>
            <wp:effectExtent l="0" t="0" r="5080" b="889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14" cstate="print"/>
                    <a:stretch>
                      <a:fillRect/>
                    </a:stretch>
                  </pic:blipFill>
                  <pic:spPr>
                    <a:xfrm>
                      <a:off x="0" y="0"/>
                      <a:ext cx="6300470" cy="3267710"/>
                    </a:xfrm>
                    <a:prstGeom prst="rect">
                      <a:avLst/>
                    </a:prstGeom>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（BOM明细汇总参考界面）</w:t>
      </w:r>
    </w:p>
    <w:p>
      <w:pPr>
        <w:spacing w:line="360" w:lineRule="auto"/>
        <w:rPr>
          <w:rFonts w:ascii="微软雅黑" w:hAnsi="微软雅黑" w:eastAsia="微软雅黑" w:cs="宋体"/>
          <w:sz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2.2.2.2.3物料变更查询</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物料变更查询信息包括：物料编码、物料名称、图号、规格、材质、单重、单价等。业务员可按照物料编码、物料名称、图号、规格、材质等查询条件查看物料变更信息，可以查询变更前和变更后的对比信息。系统有权限控制，只有授权的业务员可查看权限内的物料信息。</w:t>
      </w:r>
    </w:p>
    <w:p>
      <w:pPr>
        <w:numPr>
          <w:ilvl w:val="0"/>
          <w:numId w:val="11"/>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查询：</w:t>
      </w:r>
      <w:r>
        <w:rPr>
          <w:rFonts w:hint="eastAsia" w:ascii="微软雅黑" w:hAnsi="微软雅黑" w:eastAsia="微软雅黑" w:cs="微软雅黑"/>
          <w:sz w:val="24"/>
        </w:rPr>
        <w:t>查看物料变更信息，点击该功能按钮进行查询操作；</w:t>
      </w:r>
    </w:p>
    <w:p>
      <w:pPr>
        <w:numPr>
          <w:ilvl w:val="0"/>
          <w:numId w:val="11"/>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导出：</w:t>
      </w:r>
      <w:r>
        <w:rPr>
          <w:rFonts w:hint="eastAsia" w:ascii="微软雅黑" w:hAnsi="微软雅黑" w:eastAsia="微软雅黑" w:cs="微软雅黑"/>
          <w:sz w:val="24"/>
        </w:rPr>
        <w:t>点击该功能按钮进行导出信息，导出格式为XLS。</w:t>
      </w:r>
    </w:p>
    <w:p>
      <w:pPr>
        <w:rPr>
          <w:rFonts w:ascii="微软雅黑" w:hAnsi="微软雅黑" w:eastAsia="微软雅黑" w:cs="宋体"/>
          <w:sz w:val="24"/>
        </w:rPr>
      </w:pPr>
      <w:r>
        <w:rPr>
          <w:rFonts w:hint="eastAsia" w:ascii="微软雅黑" w:hAnsi="微软雅黑" w:eastAsia="微软雅黑" w:cs="宋体"/>
          <w:sz w:val="24"/>
        </w:rPr>
        <w:drawing>
          <wp:inline distT="0" distB="0" distL="0" distR="0">
            <wp:extent cx="6300470" cy="1267460"/>
            <wp:effectExtent l="19050" t="0" r="508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15" cstate="print"/>
                    <a:srcRect/>
                    <a:stretch>
                      <a:fillRect/>
                    </a:stretch>
                  </pic:blipFill>
                  <pic:spPr>
                    <a:xfrm>
                      <a:off x="0" y="0"/>
                      <a:ext cx="6300470" cy="1267778"/>
                    </a:xfrm>
                    <a:prstGeom prst="rect">
                      <a:avLst/>
                    </a:prstGeom>
                    <a:noFill/>
                    <a:ln w="9525">
                      <a:noFill/>
                      <a:miter lim="800000"/>
                      <a:headEnd/>
                      <a:tailEnd/>
                    </a:ln>
                  </pic:spPr>
                </pic:pic>
              </a:graphicData>
            </a:graphic>
          </wp:inline>
        </w:drawing>
      </w:r>
    </w:p>
    <w:p>
      <w:pPr>
        <w:jc w:val="center"/>
        <w:rPr>
          <w:rFonts w:ascii="微软雅黑" w:hAnsi="微软雅黑" w:eastAsia="微软雅黑"/>
        </w:rPr>
      </w:pPr>
      <w:r>
        <w:rPr>
          <w:rFonts w:hint="eastAsia" w:ascii="微软雅黑" w:hAnsi="微软雅黑" w:eastAsia="微软雅黑" w:cs="宋体"/>
          <w:sz w:val="24"/>
        </w:rPr>
        <w:t>（物料变更查询参考界面）</w:t>
      </w:r>
    </w:p>
    <w:p>
      <w:pPr>
        <w:rPr>
          <w:rFonts w:ascii="微软雅黑" w:hAnsi="微软雅黑" w:eastAsia="微软雅黑"/>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2.2.2.2.4BOM变更查询</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BOM变更查询信息包括：物料编码、物料名称、图号、规格、材质、单重、单价、总重、总价、数量、是否是零部件等。业务员可按照物料编码、物料名称、图号、规格、材质等查询条件查看BOM变更信息，BOM变更信息可以按表格的方式对比显示变更前和变更后的信息。系统有权限控制，只有授权的业务员可查看权限内的BOM变更信息。</w:t>
      </w:r>
    </w:p>
    <w:p>
      <w:pPr>
        <w:numPr>
          <w:ilvl w:val="0"/>
          <w:numId w:val="12"/>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查询：</w:t>
      </w:r>
      <w:r>
        <w:rPr>
          <w:rFonts w:hint="eastAsia" w:ascii="微软雅黑" w:hAnsi="微软雅黑" w:eastAsia="微软雅黑" w:cs="微软雅黑"/>
          <w:sz w:val="24"/>
        </w:rPr>
        <w:t>查看BOM变更信息，点击该功能按钮进行查询操作；</w:t>
      </w:r>
    </w:p>
    <w:p>
      <w:pPr>
        <w:spacing w:line="360" w:lineRule="auto"/>
        <w:rPr>
          <w:rFonts w:ascii="微软雅黑" w:hAnsi="微软雅黑" w:eastAsia="微软雅黑" w:cs="宋体"/>
          <w:sz w:val="24"/>
        </w:rPr>
      </w:pPr>
      <w:r>
        <w:rPr>
          <w:rFonts w:hint="eastAsia" w:ascii="微软雅黑" w:hAnsi="微软雅黑" w:eastAsia="微软雅黑" w:cs="宋体"/>
          <w:sz w:val="24"/>
        </w:rPr>
        <w:drawing>
          <wp:inline distT="0" distB="0" distL="0" distR="0">
            <wp:extent cx="6300470" cy="1084580"/>
            <wp:effectExtent l="19050" t="0" r="508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16" cstate="print"/>
                    <a:srcRect/>
                    <a:stretch>
                      <a:fillRect/>
                    </a:stretch>
                  </pic:blipFill>
                  <pic:spPr>
                    <a:xfrm>
                      <a:off x="0" y="0"/>
                      <a:ext cx="6300470" cy="1085041"/>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（BOM变更查询参考界面）</w:t>
      </w:r>
    </w:p>
    <w:p>
      <w:pPr>
        <w:widowControl/>
        <w:jc w:val="left"/>
        <w:rPr>
          <w:rFonts w:ascii="微软雅黑" w:hAnsi="微软雅黑" w:eastAsia="微软雅黑" w:cs="微软雅黑"/>
          <w:sz w:val="24"/>
          <w:szCs w:val="24"/>
        </w:rPr>
      </w:pPr>
    </w:p>
    <w:p>
      <w:pPr>
        <w:widowControl/>
        <w:jc w:val="left"/>
        <w:rPr>
          <w:rFonts w:ascii="微软雅黑" w:hAnsi="微软雅黑" w:eastAsia="微软雅黑" w:cs="微软雅黑"/>
          <w:b/>
          <w:bCs/>
          <w:sz w:val="28"/>
          <w:szCs w:val="28"/>
        </w:rPr>
      </w:pPr>
      <w:r>
        <w:rPr>
          <w:rFonts w:ascii="微软雅黑" w:hAnsi="微软雅黑" w:eastAsia="微软雅黑" w:cs="微软雅黑"/>
          <w:szCs w:val="28"/>
        </w:rPr>
        <w:br w:type="page"/>
      </w:r>
    </w:p>
    <w:p>
      <w:pPr>
        <w:pStyle w:val="4"/>
        <w:spacing w:before="160" w:after="160"/>
        <w:rPr>
          <w:rFonts w:ascii="微软雅黑" w:hAnsi="微软雅黑" w:eastAsia="微软雅黑" w:cs="微软雅黑"/>
          <w:color w:val="auto"/>
          <w:szCs w:val="28"/>
          <w:lang w:val="en-US"/>
        </w:rPr>
      </w:pPr>
      <w:bookmarkStart w:id="44" w:name="_Toc508831141"/>
      <w:r>
        <w:rPr>
          <w:rFonts w:hint="eastAsia" w:ascii="微软雅黑" w:hAnsi="微软雅黑" w:eastAsia="微软雅黑" w:cs="微软雅黑"/>
          <w:color w:val="auto"/>
          <w:szCs w:val="28"/>
          <w:lang w:val="en-US"/>
        </w:rPr>
        <w:t>2.2.4工艺管理</w:t>
      </w:r>
      <w:bookmarkEnd w:id="37"/>
      <w:bookmarkEnd w:id="38"/>
      <w:bookmarkEnd w:id="39"/>
      <w:bookmarkEnd w:id="44"/>
    </w:p>
    <w:p>
      <w:pPr>
        <w:pStyle w:val="5"/>
        <w:rPr>
          <w:rFonts w:ascii="微软雅黑" w:hAnsi="微软雅黑" w:eastAsia="微软雅黑"/>
        </w:rPr>
      </w:pPr>
      <w:bookmarkStart w:id="45" w:name="_Toc18389"/>
      <w:bookmarkStart w:id="46" w:name="_Toc5364"/>
      <w:bookmarkStart w:id="47" w:name="_Toc18320"/>
      <w:bookmarkStart w:id="48" w:name="_Toc508831142"/>
      <w:r>
        <w:rPr>
          <w:rFonts w:hint="eastAsia" w:ascii="微软雅黑" w:hAnsi="微软雅黑" w:eastAsia="微软雅黑"/>
        </w:rPr>
        <w:t>2.2.4.1业务流程</w:t>
      </w:r>
      <w:bookmarkEnd w:id="45"/>
      <w:bookmarkEnd w:id="46"/>
      <w:bookmarkEnd w:id="47"/>
      <w:bookmarkEnd w:id="48"/>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spacing w:line="360" w:lineRule="auto"/>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rPr>
              <w:t>1</w:t>
            </w:r>
          </w:p>
        </w:tc>
        <w:tc>
          <w:tcPr>
            <w:tcW w:w="1575"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工艺管理业务流程</w:t>
            </w:r>
          </w:p>
        </w:tc>
        <w:tc>
          <w:tcPr>
            <w:tcW w:w="1643"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spacing w:line="360" w:lineRule="auto"/>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该流程主要由系统可根据中间表提取相应数据，根据提取的零件工艺路线自动生成计划任务。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widowControl/>
              <w:jc w:val="center"/>
              <w:rPr>
                <w:rFonts w:ascii="微软雅黑" w:hAnsi="微软雅黑" w:eastAsia="微软雅黑" w:cs="微软雅黑"/>
              </w:rPr>
            </w:pPr>
            <w:r>
              <w:rPr>
                <w:rFonts w:ascii="宋体" w:hAnsi="宋体" w:eastAsia="宋体" w:cs="宋体"/>
                <w:kern w:val="0"/>
                <w:sz w:val="24"/>
                <w:szCs w:val="24"/>
              </w:rPr>
              <w:drawing>
                <wp:inline distT="0" distB="0" distL="0" distR="0">
                  <wp:extent cx="2506345" cy="6334125"/>
                  <wp:effectExtent l="19050" t="0" r="7868" b="0"/>
                  <wp:docPr id="81" name="图片 81" descr="D:\Documents\Tencent Files\854172480\Image\C2C\Image1\P]@XM[2}X)90TCHB1)4]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D:\Documents\Tencent Files\854172480\Image\C2C\Image1\P]@XM[2}X)90TCHB1)4]L}2.png"/>
                          <pic:cNvPicPr>
                            <a:picLocks noChangeAspect="1" noChangeArrowheads="1"/>
                          </pic:cNvPicPr>
                        </pic:nvPicPr>
                        <pic:blipFill>
                          <a:blip r:embed="rId117" cstate="print"/>
                          <a:srcRect/>
                          <a:stretch>
                            <a:fillRect/>
                          </a:stretch>
                        </pic:blipFill>
                        <pic:spPr>
                          <a:xfrm>
                            <a:off x="0" y="0"/>
                            <a:ext cx="2506732" cy="6334125"/>
                          </a:xfrm>
                          <a:prstGeom prst="rect">
                            <a:avLst/>
                          </a:prstGeom>
                          <a:noFill/>
                          <a:ln w="9525">
                            <a:noFill/>
                            <a:miter lim="800000"/>
                            <a:headEnd/>
                            <a:tailEnd/>
                          </a:ln>
                        </pic:spPr>
                      </pic:pic>
                    </a:graphicData>
                  </a:graphic>
                </wp:inline>
              </w:drawing>
            </w:r>
          </w:p>
        </w:tc>
      </w:tr>
    </w:tbl>
    <w:p>
      <w:pPr>
        <w:spacing w:line="360" w:lineRule="auto"/>
      </w:pPr>
    </w:p>
    <w:p>
      <w:pPr>
        <w:pStyle w:val="5"/>
        <w:rPr>
          <w:rFonts w:ascii="微软雅黑" w:hAnsi="微软雅黑" w:eastAsia="微软雅黑"/>
        </w:rPr>
      </w:pPr>
      <w:bookmarkStart w:id="49" w:name="_Toc508831143"/>
      <w:bookmarkStart w:id="50" w:name="_Toc26569"/>
      <w:bookmarkStart w:id="51" w:name="_Toc21838"/>
      <w:bookmarkStart w:id="52" w:name="_Toc7645"/>
      <w:r>
        <w:rPr>
          <w:rFonts w:hint="eastAsia" w:ascii="微软雅黑" w:hAnsi="微软雅黑" w:eastAsia="微软雅黑"/>
        </w:rPr>
        <w:t>2.2.4.2功能模块</w:t>
      </w:r>
      <w:bookmarkEnd w:id="49"/>
      <w:bookmarkEnd w:id="50"/>
      <w:bookmarkEnd w:id="51"/>
      <w:bookmarkEnd w:id="52"/>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2.2.4.2.1</w:t>
      </w:r>
      <w:bookmarkStart w:id="53" w:name="_Toc24132"/>
      <w:bookmarkStart w:id="54" w:name="_Toc10102"/>
      <w:bookmarkStart w:id="55" w:name="_Toc30690"/>
      <w:bookmarkStart w:id="56" w:name="_Toc8756"/>
      <w:r>
        <w:rPr>
          <w:rFonts w:hint="eastAsia" w:ascii="微软雅黑" w:hAnsi="微软雅黑" w:eastAsia="微软雅黑"/>
        </w:rPr>
        <w:t>工艺查询管理</w:t>
      </w:r>
      <w:bookmarkEnd w:id="53"/>
    </w:p>
    <w:p>
      <w:pPr>
        <w:spacing w:line="360" w:lineRule="auto"/>
        <w:ind w:firstLine="420"/>
        <w:rPr>
          <w:rFonts w:ascii="微软雅黑" w:hAnsi="微软雅黑" w:eastAsia="微软雅黑" w:cs="微软雅黑"/>
          <w:sz w:val="24"/>
        </w:rPr>
      </w:pP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sz w:val="24"/>
        </w:rPr>
        <w:t>该模块主要用来查询编制完成后的工艺信息以及发生变更的工艺信息。打印加工路线单，工装，工艺卡片。</w:t>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该模块包含的主要系统操作有：</w:t>
      </w:r>
    </w:p>
    <w:p>
      <w:pPr>
        <w:numPr>
          <w:ilvl w:val="0"/>
          <w:numId w:val="4"/>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浏览：</w:t>
      </w:r>
      <w:r>
        <w:rPr>
          <w:rFonts w:hint="eastAsia" w:ascii="微软雅黑" w:hAnsi="微软雅黑" w:eastAsia="微软雅黑" w:cs="微软雅黑"/>
          <w:sz w:val="24"/>
        </w:rPr>
        <w:t>查看已编制工艺中具体工序内容，点击该功能按钮进行生效操作。</w:t>
      </w:r>
    </w:p>
    <w:p>
      <w:pPr>
        <w:numPr>
          <w:ilvl w:val="0"/>
          <w:numId w:val="4"/>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打印工艺卡片</w:t>
      </w:r>
      <w:r>
        <w:rPr>
          <w:rFonts w:hint="eastAsia" w:ascii="微软雅黑" w:hAnsi="微软雅黑" w:eastAsia="微软雅黑" w:cs="微软雅黑"/>
          <w:sz w:val="24"/>
        </w:rPr>
        <w:t>：打印印工艺卡单，点击该功能按钮进行打印操作。</w:t>
      </w:r>
    </w:p>
    <w:p>
      <w:pPr>
        <w:numPr>
          <w:ilvl w:val="0"/>
          <w:numId w:val="4"/>
        </w:numPr>
        <w:spacing w:line="360" w:lineRule="auto"/>
        <w:rPr>
          <w:rFonts w:ascii="微软雅黑" w:hAnsi="微软雅黑" w:eastAsia="微软雅黑" w:cs="微软雅黑"/>
          <w:b/>
          <w:bCs/>
          <w:sz w:val="24"/>
        </w:rPr>
      </w:pPr>
      <w:r>
        <w:rPr>
          <w:rFonts w:hint="eastAsia" w:ascii="微软雅黑" w:hAnsi="微软雅黑" w:eastAsia="微软雅黑" w:cs="微软雅黑"/>
          <w:b/>
          <w:bCs/>
          <w:sz w:val="24"/>
        </w:rPr>
        <w:t>打印工装：</w:t>
      </w:r>
      <w:r>
        <w:rPr>
          <w:rFonts w:hint="eastAsia" w:ascii="微软雅黑" w:hAnsi="微软雅黑" w:eastAsia="微软雅黑" w:cs="微软雅黑"/>
          <w:sz w:val="24"/>
        </w:rPr>
        <w:t>打印加工打印工装单，点击该功能按钮进行打印操作。</w:t>
      </w:r>
    </w:p>
    <w:p>
      <w:pPr>
        <w:numPr>
          <w:ilvl w:val="0"/>
          <w:numId w:val="4"/>
        </w:numPr>
        <w:spacing w:line="360" w:lineRule="auto"/>
        <w:rPr>
          <w:rFonts w:ascii="微软雅黑" w:hAnsi="微软雅黑" w:eastAsia="微软雅黑" w:cs="微软雅黑"/>
          <w:sz w:val="24"/>
        </w:rPr>
      </w:pPr>
      <w:r>
        <w:rPr>
          <w:rFonts w:hint="eastAsia" w:ascii="微软雅黑" w:hAnsi="微软雅黑" w:eastAsia="微软雅黑" w:cs="微软雅黑"/>
          <w:b/>
          <w:bCs/>
          <w:sz w:val="24"/>
        </w:rPr>
        <w:t>打印路线单：</w:t>
      </w:r>
      <w:r>
        <w:rPr>
          <w:rFonts w:hint="eastAsia" w:ascii="微软雅黑" w:hAnsi="微软雅黑" w:eastAsia="微软雅黑" w:cs="微软雅黑"/>
          <w:sz w:val="24"/>
        </w:rPr>
        <w:t>打印加工工艺路线单，点击该功能按钮进行打印操作。</w:t>
      </w:r>
    </w:p>
    <w:p>
      <w:pPr>
        <w:widowControl/>
        <w:jc w:val="left"/>
        <w:rPr>
          <w:rFonts w:ascii="微软雅黑" w:hAnsi="微软雅黑" w:eastAsia="微软雅黑" w:cs="微软雅黑"/>
        </w:rPr>
      </w:pPr>
      <w:r>
        <w:rPr>
          <w:rFonts w:hint="eastAsia"/>
        </w:rPr>
        <w:drawing>
          <wp:inline distT="0" distB="0" distL="0" distR="0">
            <wp:extent cx="6300470" cy="1472565"/>
            <wp:effectExtent l="19050" t="0" r="508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118" cstate="print"/>
                    <a:srcRect/>
                    <a:stretch>
                      <a:fillRect/>
                    </a:stretch>
                  </pic:blipFill>
                  <pic:spPr>
                    <a:xfrm>
                      <a:off x="0" y="0"/>
                      <a:ext cx="6300470" cy="1473045"/>
                    </a:xfrm>
                    <a:prstGeom prst="rect">
                      <a:avLst/>
                    </a:prstGeom>
                    <a:noFill/>
                    <a:ln w="9525">
                      <a:noFill/>
                      <a:miter lim="800000"/>
                      <a:headEnd/>
                      <a:tailEnd/>
                    </a:ln>
                  </pic:spPr>
                </pic:pic>
              </a:graphicData>
            </a:graphic>
          </wp:inline>
        </w:drawing>
      </w:r>
    </w:p>
    <w:p>
      <w:pPr>
        <w:widowControl/>
        <w:autoSpaceDE w:val="0"/>
        <w:autoSpaceDN w:val="0"/>
        <w:adjustRightInd w:val="0"/>
        <w:spacing w:beforeLines="50" w:afterLines="50" w:line="360" w:lineRule="auto"/>
        <w:jc w:val="center"/>
        <w:textAlignment w:val="baseline"/>
        <w:rPr>
          <w:rFonts w:ascii="微软雅黑" w:hAnsi="微软雅黑" w:eastAsia="微软雅黑" w:cs="微软雅黑"/>
          <w:sz w:val="24"/>
        </w:rPr>
      </w:pPr>
      <w:r>
        <w:rPr>
          <w:rFonts w:hint="eastAsia" w:ascii="微软雅黑" w:hAnsi="微软雅黑" w:eastAsia="微软雅黑" w:cs="微软雅黑"/>
          <w:sz w:val="24"/>
        </w:rPr>
        <w:t>（工艺查询设计参考界面）</w:t>
      </w:r>
      <w:bookmarkEnd w:id="54"/>
      <w:bookmarkEnd w:id="55"/>
      <w:bookmarkEnd w:id="56"/>
    </w:p>
    <w:p>
      <w:pPr>
        <w:widowControl/>
        <w:jc w:val="left"/>
        <w:rPr>
          <w:rFonts w:ascii="微软雅黑" w:hAnsi="微软雅黑" w:eastAsia="微软雅黑" w:cs="微软雅黑"/>
          <w:b/>
          <w:bCs/>
          <w:sz w:val="28"/>
          <w:szCs w:val="28"/>
        </w:rPr>
      </w:pPr>
      <w:r>
        <w:rPr>
          <w:rFonts w:ascii="微软雅黑" w:hAnsi="微软雅黑" w:eastAsia="微软雅黑" w:cs="微软雅黑"/>
          <w:szCs w:val="28"/>
        </w:rPr>
        <w:br w:type="page"/>
      </w:r>
    </w:p>
    <w:p>
      <w:pPr>
        <w:pStyle w:val="4"/>
        <w:spacing w:before="160" w:after="160"/>
        <w:rPr>
          <w:rFonts w:ascii="微软雅黑" w:hAnsi="微软雅黑" w:eastAsia="微软雅黑" w:cs="微软雅黑"/>
          <w:color w:val="auto"/>
          <w:szCs w:val="28"/>
          <w:lang w:val="en-US"/>
        </w:rPr>
      </w:pPr>
      <w:bookmarkStart w:id="57" w:name="_Toc508831144"/>
      <w:r>
        <w:rPr>
          <w:rFonts w:hint="eastAsia" w:ascii="微软雅黑" w:hAnsi="微软雅黑" w:eastAsia="微软雅黑" w:cs="微软雅黑"/>
          <w:color w:val="auto"/>
          <w:szCs w:val="28"/>
          <w:lang w:val="en-US"/>
        </w:rPr>
        <w:t>2.2.5物料需求计划管理</w:t>
      </w:r>
      <w:bookmarkEnd w:id="57"/>
    </w:p>
    <w:p>
      <w:pPr>
        <w:pStyle w:val="5"/>
        <w:rPr>
          <w:rFonts w:ascii="微软雅黑" w:hAnsi="微软雅黑" w:eastAsia="微软雅黑"/>
        </w:rPr>
      </w:pPr>
      <w:bookmarkStart w:id="58" w:name="_Toc508831145"/>
      <w:r>
        <w:rPr>
          <w:rFonts w:hint="eastAsia" w:ascii="微软雅黑" w:hAnsi="微软雅黑" w:eastAsia="微软雅黑"/>
        </w:rPr>
        <w:t>2.2.5.1业务流程</w:t>
      </w:r>
      <w:bookmarkEnd w:id="58"/>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5.1</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物料需求计划业务流程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rPr>
              <w:t>该业务主要为根据预投订单、销售订单、主生产计划、产品BOM结构，将产品每个零部件、原材料的需求数量进行汇总合并，以主生产计划完成日期为准进行倒排计划，并结合仓库库存情况，物资在途情况，不同原材料的采购周期，生产加工情况进行自动计算，最终计算出所需物料的需求量及需求时间，从而生成原材料的采购计划及加工进度，从而实现效率最大化，批量采购成本最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object>
                <v:shape id="_x0000_i1073" o:spt="75" type="#_x0000_t75" style="height:389.25pt;width:468pt;" o:ole="t" filled="f" o:preferrelative="t" stroked="f" coordsize="21600,21600">
                  <v:path/>
                  <v:fill on="f" focussize="0,0"/>
                  <v:stroke on="f" joinstyle="miter"/>
                  <v:imagedata r:id="rId120" o:title=""/>
                  <o:lock v:ext="edit" aspectratio="t"/>
                  <w10:wrap type="none"/>
                  <w10:anchorlock/>
                </v:shape>
                <o:OLEObject Type="Embed" ProgID="Visio.Drawing.11" ShapeID="_x0000_i1073" DrawAspect="Content" ObjectID="_1468075773" r:id="rId119">
                  <o:LockedField>false</o:LockedField>
                </o:OLEObject>
              </w:object>
            </w:r>
          </w:p>
        </w:tc>
      </w:tr>
    </w:tbl>
    <w:p>
      <w:pPr>
        <w:rPr>
          <w:rFonts w:ascii="微软雅黑" w:hAnsi="微软雅黑" w:eastAsia="微软雅黑"/>
        </w:rPr>
      </w:pPr>
    </w:p>
    <w:p>
      <w:pPr>
        <w:pStyle w:val="5"/>
        <w:rPr>
          <w:rFonts w:ascii="微软雅黑" w:hAnsi="微软雅黑" w:eastAsia="微软雅黑"/>
        </w:rPr>
      </w:pPr>
      <w:bookmarkStart w:id="59" w:name="_Toc508831146"/>
      <w:r>
        <w:rPr>
          <w:rFonts w:hint="eastAsia" w:ascii="微软雅黑" w:hAnsi="微软雅黑" w:eastAsia="微软雅黑"/>
        </w:rPr>
        <w:t>2.2.5.2功能模块</w:t>
      </w:r>
      <w:bookmarkEnd w:id="59"/>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2.2.5.2.1物料需求计划管理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管理和下发物料需求计划。当销售订单、订单BOM、主计划下发后，系统根据APS运算，计算出所需物料的订单需求数、单台需求数、总需求数、现有库存数、库存占用数、需采购数，将各物料的需求时间及采购责任部门进行下发。</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13"/>
        </w:numPr>
        <w:spacing w:line="360" w:lineRule="auto"/>
        <w:rPr>
          <w:rFonts w:ascii="微软雅黑" w:hAnsi="微软雅黑" w:eastAsia="微软雅黑" w:cs="宋体"/>
          <w:sz w:val="24"/>
        </w:rPr>
      </w:pPr>
      <w:r>
        <w:rPr>
          <w:rFonts w:hint="eastAsia" w:ascii="微软雅黑" w:hAnsi="微软雅黑" w:eastAsia="微软雅黑" w:cs="宋体"/>
          <w:b/>
          <w:bCs/>
          <w:sz w:val="24"/>
        </w:rPr>
        <w:t>保存：</w:t>
      </w:r>
      <w:r>
        <w:rPr>
          <w:rFonts w:hint="eastAsia" w:ascii="微软雅黑" w:hAnsi="微软雅黑" w:eastAsia="微软雅黑" w:cs="宋体"/>
          <w:sz w:val="24"/>
        </w:rPr>
        <w:t>当需修改采购执行部门、物料需求时间时，重新选择“执行部门”，输入“需求计划开始、结束日期”，点击该功能按钮进行保存操作；</w:t>
      </w:r>
    </w:p>
    <w:p>
      <w:pPr>
        <w:numPr>
          <w:ilvl w:val="0"/>
          <w:numId w:val="13"/>
        </w:numPr>
        <w:spacing w:line="360" w:lineRule="auto"/>
        <w:rPr>
          <w:rFonts w:ascii="微软雅黑" w:hAnsi="微软雅黑" w:eastAsia="微软雅黑" w:cs="宋体"/>
          <w:sz w:val="24"/>
        </w:rPr>
      </w:pPr>
      <w:r>
        <w:rPr>
          <w:rFonts w:hint="eastAsia" w:ascii="微软雅黑" w:hAnsi="微软雅黑" w:eastAsia="微软雅黑" w:cs="宋体"/>
          <w:b/>
          <w:bCs/>
          <w:sz w:val="24"/>
        </w:rPr>
        <w:t>下发：</w:t>
      </w:r>
      <w:r>
        <w:rPr>
          <w:rFonts w:hint="eastAsia" w:ascii="微软雅黑" w:hAnsi="微软雅黑" w:eastAsia="微软雅黑" w:cs="宋体"/>
          <w:sz w:val="24"/>
        </w:rPr>
        <w:t>已编制完成的物料需求计划，当需要下发至各业务部门时，点击该功能按钮进行下发操作；</w:t>
      </w:r>
    </w:p>
    <w:p>
      <w:pPr>
        <w:numPr>
          <w:ilvl w:val="0"/>
          <w:numId w:val="13"/>
        </w:numPr>
        <w:spacing w:line="360" w:lineRule="auto"/>
        <w:rPr>
          <w:rFonts w:ascii="微软雅黑" w:hAnsi="微软雅黑" w:eastAsia="微软雅黑" w:cs="宋体"/>
          <w:sz w:val="24"/>
        </w:rPr>
      </w:pPr>
      <w:r>
        <w:rPr>
          <w:rFonts w:hint="eastAsia" w:ascii="微软雅黑" w:hAnsi="微软雅黑" w:eastAsia="微软雅黑" w:cs="宋体"/>
          <w:b/>
          <w:bCs/>
          <w:sz w:val="24"/>
        </w:rPr>
        <w:t>撤销：</w:t>
      </w:r>
      <w:r>
        <w:rPr>
          <w:rFonts w:hint="eastAsia" w:ascii="微软雅黑" w:hAnsi="微软雅黑" w:eastAsia="微软雅黑" w:cs="宋体"/>
          <w:sz w:val="24"/>
        </w:rPr>
        <w:t>已下发的物料需求计划，当发现有误，需要调整时，点击该功能按钮进行物料需求计划的撤销操作；</w:t>
      </w:r>
    </w:p>
    <w:p>
      <w:pPr>
        <w:numPr>
          <w:ilvl w:val="0"/>
          <w:numId w:val="13"/>
        </w:numPr>
        <w:spacing w:line="360" w:lineRule="auto"/>
        <w:rPr>
          <w:rFonts w:ascii="微软雅黑" w:hAnsi="微软雅黑" w:eastAsia="微软雅黑" w:cs="宋体"/>
          <w:b/>
          <w:bCs/>
          <w:sz w:val="24"/>
        </w:rPr>
      </w:pPr>
      <w:r>
        <w:rPr>
          <w:rFonts w:hint="eastAsia" w:ascii="微软雅黑" w:hAnsi="微软雅黑" w:eastAsia="微软雅黑" w:cs="宋体"/>
          <w:b/>
          <w:bCs/>
          <w:sz w:val="24"/>
        </w:rPr>
        <w:t>库存代用：</w:t>
      </w:r>
      <w:r>
        <w:rPr>
          <w:rFonts w:hint="eastAsia" w:ascii="微软雅黑" w:hAnsi="微软雅黑" w:eastAsia="微软雅黑" w:cs="宋体"/>
          <w:sz w:val="24"/>
        </w:rPr>
        <w:t>当该零部件或原材料，库存中有其它零部件或原材料可进行替代使用，无需再次采购时，点击该功能按钮进行物料的库存代用操作；</w:t>
      </w:r>
    </w:p>
    <w:p>
      <w:pPr>
        <w:numPr>
          <w:ilvl w:val="0"/>
          <w:numId w:val="13"/>
        </w:numPr>
        <w:spacing w:line="360" w:lineRule="auto"/>
        <w:rPr>
          <w:rFonts w:ascii="微软雅黑" w:hAnsi="微软雅黑" w:eastAsia="微软雅黑" w:cs="宋体"/>
          <w:b/>
          <w:bCs/>
          <w:sz w:val="24"/>
        </w:rPr>
      </w:pPr>
      <w:r>
        <w:rPr>
          <w:rFonts w:hint="eastAsia" w:ascii="微软雅黑" w:hAnsi="微软雅黑" w:eastAsia="微软雅黑" w:cs="宋体"/>
          <w:b/>
          <w:bCs/>
          <w:sz w:val="24"/>
        </w:rPr>
        <w:t>取消库存代用：</w:t>
      </w:r>
      <w:r>
        <w:rPr>
          <w:rFonts w:hint="eastAsia" w:ascii="微软雅黑" w:hAnsi="微软雅黑" w:eastAsia="微软雅黑" w:cs="宋体"/>
          <w:sz w:val="24"/>
        </w:rPr>
        <w:t>对于系统自动库存代用的及手工库存代用的物料，当代用有误，需取消代用时，点击该功能按钮进行物料取消库存代用操作；</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114300" distR="114300">
            <wp:extent cx="6296025" cy="2835910"/>
            <wp:effectExtent l="0" t="0" r="9525" b="254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21" cstate="print"/>
                    <a:stretch>
                      <a:fillRect/>
                    </a:stretch>
                  </pic:blipFill>
                  <pic:spPr>
                    <a:xfrm>
                      <a:off x="0" y="0"/>
                      <a:ext cx="6296025" cy="2835910"/>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（物料需求计划管理参考界面）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ind w:firstLine="420"/>
        <w:rPr>
          <w:rFonts w:ascii="微软雅黑" w:hAnsi="微软雅黑" w:eastAsia="微软雅黑" w:cs="微软雅黑"/>
          <w:sz w:val="24"/>
          <w:szCs w:val="24"/>
        </w:rPr>
      </w:pPr>
    </w:p>
    <w:p>
      <w:pPr>
        <w:widowControl/>
        <w:jc w:val="left"/>
        <w:rPr>
          <w:rFonts w:ascii="微软雅黑" w:hAnsi="微软雅黑" w:eastAsia="微软雅黑" w:cs="微软雅黑"/>
          <w:b/>
          <w:bCs/>
          <w:sz w:val="28"/>
          <w:szCs w:val="28"/>
        </w:rPr>
      </w:pPr>
      <w:r>
        <w:rPr>
          <w:rFonts w:ascii="微软雅黑" w:hAnsi="微软雅黑" w:eastAsia="微软雅黑" w:cs="微软雅黑"/>
          <w:szCs w:val="28"/>
        </w:rPr>
        <w:br w:type="page"/>
      </w:r>
    </w:p>
    <w:p>
      <w:pPr>
        <w:pStyle w:val="4"/>
        <w:spacing w:before="160" w:after="160"/>
        <w:rPr>
          <w:rFonts w:ascii="微软雅黑" w:hAnsi="微软雅黑" w:eastAsia="微软雅黑" w:cs="微软雅黑"/>
          <w:color w:val="auto"/>
          <w:szCs w:val="28"/>
          <w:lang w:val="en-US"/>
        </w:rPr>
      </w:pPr>
      <w:bookmarkStart w:id="60" w:name="_Toc508831147"/>
      <w:r>
        <w:rPr>
          <w:rFonts w:hint="eastAsia" w:ascii="微软雅黑" w:hAnsi="微软雅黑" w:eastAsia="微软雅黑" w:cs="微软雅黑"/>
          <w:color w:val="auto"/>
          <w:szCs w:val="28"/>
          <w:lang w:val="en-US"/>
        </w:rPr>
        <w:t>2.2.6采购管理</w:t>
      </w:r>
      <w:bookmarkEnd w:id="60"/>
    </w:p>
    <w:p>
      <w:pPr>
        <w:pStyle w:val="5"/>
        <w:rPr>
          <w:rFonts w:ascii="微软雅黑" w:hAnsi="微软雅黑" w:eastAsia="微软雅黑"/>
        </w:rPr>
      </w:pPr>
      <w:bookmarkStart w:id="61" w:name="_Toc508831148"/>
      <w:r>
        <w:rPr>
          <w:rFonts w:hint="eastAsia" w:ascii="微软雅黑" w:hAnsi="微软雅黑" w:eastAsia="微软雅黑"/>
        </w:rPr>
        <w:t>2.2.6.1业务流程</w:t>
      </w:r>
      <w:bookmarkEnd w:id="61"/>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spacing w:line="360" w:lineRule="auto"/>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rPr>
              <w:t>2.1</w:t>
            </w:r>
          </w:p>
        </w:tc>
        <w:tc>
          <w:tcPr>
            <w:tcW w:w="1575"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生产采购总流程</w:t>
            </w:r>
          </w:p>
        </w:tc>
        <w:tc>
          <w:tcPr>
            <w:tcW w:w="1643"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spacing w:line="360" w:lineRule="auto"/>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接收采购任务后，经过询价、比价，签订采购合同，办理采购入库申请，由质检部进行入库质检，提交WMS办理入库或发往车间。入库后，可依据入库单进行开票，形成应付账款，及办理付款业务。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spacing w:line="360" w:lineRule="auto"/>
              <w:ind w:left="0"/>
              <w:jc w:val="center"/>
              <w:rPr>
                <w:rFonts w:ascii="微软雅黑" w:hAnsi="微软雅黑" w:eastAsia="微软雅黑" w:cs="微软雅黑"/>
              </w:rPr>
            </w:pPr>
            <w:r>
              <w:object>
                <v:shape id="_x0000_i1074" o:spt="75" type="#_x0000_t75" style="height:458.25pt;width:327.75pt;" o:ole="t" filled="f" o:preferrelative="t" stroked="f" coordsize="21600,21600">
                  <v:path/>
                  <v:fill on="f" focussize="0,0"/>
                  <v:stroke on="f" joinstyle="miter"/>
                  <v:imagedata r:id="rId123" o:title=""/>
                  <o:lock v:ext="edit" aspectratio="t"/>
                  <w10:wrap type="none"/>
                  <w10:anchorlock/>
                </v:shape>
                <o:OLEObject Type="Embed" ProgID="Visio.Drawing.11" ShapeID="_x0000_i1074" DrawAspect="Content" ObjectID="_1468075774" r:id="rId12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spacing w:line="360" w:lineRule="auto"/>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sz w:val="21"/>
                <w:szCs w:val="21"/>
              </w:rPr>
              <w:t>2</w:t>
            </w:r>
          </w:p>
        </w:tc>
        <w:tc>
          <w:tcPr>
            <w:tcW w:w="1575"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采购合同业务流程</w:t>
            </w:r>
          </w:p>
        </w:tc>
        <w:tc>
          <w:tcPr>
            <w:tcW w:w="1643"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spacing w:line="360" w:lineRule="auto"/>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业务人员进行任务接收，经过询价、比价，或有年度协议，与供应商签订采购合同。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rPr>
              <w:object>
                <v:shape id="_x0000_i1075" o:spt="75" type="#_x0000_t75" style="height:482.25pt;width:303pt;" o:ole="t" filled="f" o:preferrelative="t" stroked="f" coordsize="21600,21600">
                  <v:path/>
                  <v:fill on="f" focussize="0,0"/>
                  <v:stroke on="f" joinstyle="miter"/>
                  <v:imagedata r:id="rId125" o:title=""/>
                  <o:lock v:ext="edit" aspectratio="f"/>
                  <w10:wrap type="none"/>
                  <w10:anchorlock/>
                </v:shape>
                <o:OLEObject Type="Embed" ProgID="Visio.Drawing.11" ShapeID="_x0000_i1075" DrawAspect="Content" ObjectID="_1468075775" r:id="rId124">
                  <o:LockedField>false</o:LockedField>
                </o:OLEObject>
              </w:object>
            </w:r>
          </w:p>
        </w:tc>
      </w:tr>
    </w:tbl>
    <w:p>
      <w:pPr>
        <w:spacing w:line="360" w:lineRule="auto"/>
        <w:rPr>
          <w:rFonts w:ascii="微软雅黑" w:hAnsi="微软雅黑" w:eastAsia="微软雅黑"/>
          <w:lang w:val="zh-CN"/>
        </w:rPr>
      </w:pPr>
    </w:p>
    <w:p>
      <w:pPr>
        <w:spacing w:line="360" w:lineRule="auto"/>
        <w:rPr>
          <w:rFonts w:ascii="微软雅黑" w:hAnsi="微软雅黑" w:eastAsia="微软雅黑"/>
          <w:lang w:val="zh-CN"/>
        </w:rPr>
      </w:pPr>
    </w:p>
    <w:p>
      <w:pPr>
        <w:spacing w:line="360" w:lineRule="auto"/>
        <w:rPr>
          <w:rFonts w:ascii="微软雅黑" w:hAnsi="微软雅黑" w:eastAsia="微软雅黑"/>
          <w:lang w:val="zh-CN"/>
        </w:rPr>
      </w:pPr>
    </w:p>
    <w:p>
      <w:pPr>
        <w:spacing w:line="360" w:lineRule="auto"/>
        <w:rPr>
          <w:rFonts w:ascii="微软雅黑" w:hAnsi="微软雅黑" w:eastAsia="微软雅黑"/>
          <w:lang w:val="zh-CN"/>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spacing w:line="360" w:lineRule="auto"/>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sz w:val="21"/>
                <w:szCs w:val="21"/>
              </w:rPr>
              <w:t>3</w:t>
            </w:r>
          </w:p>
        </w:tc>
        <w:tc>
          <w:tcPr>
            <w:tcW w:w="1575"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采购入库业务流程</w:t>
            </w:r>
          </w:p>
        </w:tc>
        <w:tc>
          <w:tcPr>
            <w:tcW w:w="1643"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spacing w:line="360" w:lineRule="auto"/>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当采购物资回厂需入库时，由采购计划员依据采购合同办理采购入库申请，由质检部进行入库质检，由WMS办理入库或发往车间。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spacing w:line="360" w:lineRule="auto"/>
              <w:ind w:left="0"/>
              <w:jc w:val="center"/>
              <w:rPr>
                <w:rFonts w:ascii="微软雅黑" w:hAnsi="微软雅黑" w:eastAsia="微软雅黑" w:cs="微软雅黑"/>
              </w:rPr>
            </w:pPr>
            <w:r>
              <w:object>
                <v:shape id="_x0000_i1076" o:spt="75" type="#_x0000_t75" style="height:438.75pt;width:376.5pt;" o:ole="t" filled="f" o:preferrelative="t" stroked="f" coordsize="21600,21600">
                  <v:path/>
                  <v:fill on="f" focussize="0,0"/>
                  <v:stroke on="f" joinstyle="miter"/>
                  <v:imagedata r:id="rId127" o:title=""/>
                  <o:lock v:ext="edit" aspectratio="t"/>
                  <w10:wrap type="none"/>
                  <w10:anchorlock/>
                </v:shape>
                <o:OLEObject Type="Embed" ProgID="Visio.Drawing.11" ShapeID="_x0000_i1076" DrawAspect="Content" ObjectID="_1468075776" r:id="rId126">
                  <o:LockedField>false</o:LockedField>
                </o:OLEObject>
              </w:object>
            </w:r>
          </w:p>
        </w:tc>
      </w:tr>
    </w:tbl>
    <w:p>
      <w:pPr>
        <w:spacing w:line="360" w:lineRule="auto"/>
        <w:rPr>
          <w:rFonts w:ascii="微软雅黑" w:hAnsi="微软雅黑" w:eastAsia="微软雅黑"/>
          <w:lang w:val="zh-CN"/>
        </w:rPr>
      </w:pPr>
    </w:p>
    <w:p>
      <w:pPr>
        <w:spacing w:line="360" w:lineRule="auto"/>
        <w:rPr>
          <w:rFonts w:ascii="微软雅黑" w:hAnsi="微软雅黑" w:eastAsia="微软雅黑"/>
          <w:lang w:val="zh-CN"/>
        </w:rPr>
      </w:pPr>
    </w:p>
    <w:p>
      <w:pPr>
        <w:spacing w:line="360" w:lineRule="auto"/>
        <w:rPr>
          <w:rFonts w:ascii="微软雅黑" w:hAnsi="微软雅黑" w:eastAsia="微软雅黑"/>
          <w:lang w:val="zh-CN"/>
        </w:rPr>
      </w:pPr>
    </w:p>
    <w:p>
      <w:pPr>
        <w:spacing w:line="360" w:lineRule="auto"/>
        <w:rPr>
          <w:rFonts w:ascii="微软雅黑" w:hAnsi="微软雅黑" w:eastAsia="微软雅黑"/>
          <w:lang w:val="zh-CN"/>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spacing w:line="360" w:lineRule="auto"/>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sz w:val="21"/>
                <w:szCs w:val="21"/>
              </w:rPr>
              <w:t>4</w:t>
            </w:r>
          </w:p>
        </w:tc>
        <w:tc>
          <w:tcPr>
            <w:tcW w:w="1575"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采购发票业务流程</w:t>
            </w:r>
          </w:p>
        </w:tc>
        <w:tc>
          <w:tcPr>
            <w:tcW w:w="1643"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spacing w:line="360" w:lineRule="auto"/>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当采购物资办理入库后，采购业务员可可依据入库单进行开票，发票经由内部主管审核，由财务部门进行发票确认，及财务记账，确认完成后，形成应付账款。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rPr>
              <w:object>
                <v:shape id="_x0000_i1077" o:spt="75" type="#_x0000_t75" style="height:370.5pt;width:222.75pt;" o:ole="t" filled="f" o:preferrelative="t" stroked="f" coordsize="21600,21600">
                  <v:path/>
                  <v:fill on="f" focussize="0,0"/>
                  <v:stroke on="f" joinstyle="miter"/>
                  <v:imagedata r:id="rId129" o:title=""/>
                  <o:lock v:ext="edit" aspectratio="f"/>
                  <w10:wrap type="none"/>
                  <w10:anchorlock/>
                </v:shape>
                <o:OLEObject Type="Embed" ProgID="Visio.Drawing.11" ShapeID="_x0000_i1077" DrawAspect="Content" ObjectID="_1468075777" r:id="rId128">
                  <o:LockedField>false</o:LockedField>
                </o:OLEObject>
              </w:object>
            </w:r>
          </w:p>
        </w:tc>
      </w:tr>
    </w:tbl>
    <w:p>
      <w:pPr>
        <w:spacing w:line="360" w:lineRule="auto"/>
        <w:rPr>
          <w:rFonts w:ascii="微软雅黑" w:hAnsi="微软雅黑" w:eastAsia="微软雅黑"/>
          <w:lang w:val="zh-CN"/>
        </w:rPr>
      </w:pPr>
    </w:p>
    <w:p>
      <w:pPr>
        <w:spacing w:line="360" w:lineRule="auto"/>
        <w:rPr>
          <w:rFonts w:ascii="微软雅黑" w:hAnsi="微软雅黑" w:eastAsia="微软雅黑"/>
          <w:lang w:val="zh-CN"/>
        </w:rPr>
      </w:pPr>
    </w:p>
    <w:p>
      <w:pPr>
        <w:spacing w:line="360" w:lineRule="auto"/>
        <w:rPr>
          <w:rFonts w:ascii="微软雅黑" w:hAnsi="微软雅黑" w:eastAsia="微软雅黑"/>
          <w:lang w:val="zh-CN"/>
        </w:rPr>
      </w:pPr>
    </w:p>
    <w:p>
      <w:pPr>
        <w:spacing w:line="360" w:lineRule="auto"/>
        <w:rPr>
          <w:rFonts w:ascii="微软雅黑" w:hAnsi="微软雅黑" w:eastAsia="微软雅黑"/>
          <w:lang w:val="zh-CN"/>
        </w:rPr>
      </w:pPr>
    </w:p>
    <w:p>
      <w:pPr>
        <w:spacing w:line="360" w:lineRule="auto"/>
        <w:rPr>
          <w:rFonts w:ascii="微软雅黑" w:hAnsi="微软雅黑" w:eastAsia="微软雅黑"/>
          <w:lang w:val="zh-CN"/>
        </w:rPr>
      </w:pPr>
    </w:p>
    <w:p>
      <w:pPr>
        <w:spacing w:line="360" w:lineRule="auto"/>
        <w:rPr>
          <w:rFonts w:ascii="微软雅黑" w:hAnsi="微软雅黑" w:eastAsia="微软雅黑"/>
          <w:lang w:val="zh-CN"/>
        </w:rPr>
      </w:pPr>
    </w:p>
    <w:p>
      <w:pPr>
        <w:spacing w:line="360" w:lineRule="auto"/>
        <w:rPr>
          <w:rFonts w:ascii="微软雅黑" w:hAnsi="微软雅黑" w:eastAsia="微软雅黑"/>
          <w:lang w:val="zh-CN"/>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spacing w:line="360" w:lineRule="auto"/>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rPr>
              <w:t>5</w:t>
            </w:r>
          </w:p>
        </w:tc>
        <w:tc>
          <w:tcPr>
            <w:tcW w:w="1575"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采购付款计划业务流程</w:t>
            </w:r>
          </w:p>
        </w:tc>
        <w:tc>
          <w:tcPr>
            <w:tcW w:w="1643"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spacing w:line="360" w:lineRule="auto"/>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依据采购合同，采购合同节点及采购发票，生成应付账款，并交由分管领导及财务进行审核，审核通过后，自动记录在应付账款台帐中，并依据付款计划相关规则，自动将上月剩余未付款情况及应付账款情况滚动生成月度付款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rPr>
              <w:object>
                <v:shape id="_x0000_i1078" o:spt="75" type="#_x0000_t75" style="height:359.25pt;width:175.5pt;" o:ole="t" filled="f" o:preferrelative="t" stroked="f" coordsize="21600,21600">
                  <v:path/>
                  <v:fill on="f" focussize="0,0"/>
                  <v:stroke on="f" joinstyle="miter"/>
                  <v:imagedata r:id="rId131" o:title=""/>
                  <o:lock v:ext="edit" aspectratio="f"/>
                  <w10:wrap type="none"/>
                  <w10:anchorlock/>
                </v:shape>
                <o:OLEObject Type="Embed" ProgID="Visio.Drawing.11" ShapeID="_x0000_i1078" DrawAspect="Content" ObjectID="_1468075778" r:id="rId130">
                  <o:LockedField>false</o:LockedField>
                </o:OLEObject>
              </w:object>
            </w:r>
          </w:p>
        </w:tc>
      </w:tr>
    </w:tbl>
    <w:p>
      <w:pPr>
        <w:spacing w:line="360" w:lineRule="auto"/>
        <w:rPr>
          <w:rFonts w:ascii="微软雅黑" w:hAnsi="微软雅黑" w:eastAsia="微软雅黑"/>
          <w:lang w:val="zh-CN"/>
        </w:rPr>
      </w:pPr>
    </w:p>
    <w:p>
      <w:pPr>
        <w:spacing w:line="360" w:lineRule="auto"/>
        <w:rPr>
          <w:rFonts w:ascii="微软雅黑" w:hAnsi="微软雅黑" w:eastAsia="微软雅黑"/>
          <w:lang w:val="zh-CN"/>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spacing w:line="360" w:lineRule="auto"/>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rPr>
              <w:t>6</w:t>
            </w:r>
          </w:p>
        </w:tc>
        <w:tc>
          <w:tcPr>
            <w:tcW w:w="1575"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采购付款业务流程</w:t>
            </w:r>
          </w:p>
        </w:tc>
        <w:tc>
          <w:tcPr>
            <w:tcW w:w="1643"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spacing w:line="360" w:lineRule="auto"/>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依据采购合同及采购合同节点录入实际付款单，付款方式主要分为：现金、承兑、电汇、其它等，付款单交由财务部门进行付款审核，并进行财务记账，审核通过后冲抵应付账款。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rPr>
              <w:object>
                <v:shape id="_x0000_i1079" o:spt="75" type="#_x0000_t75" style="height:425.25pt;width:294pt;" o:ole="t" filled="f" o:preferrelative="t" stroked="f" coordsize="21600,21600">
                  <v:path/>
                  <v:fill on="f" focussize="0,0"/>
                  <v:stroke on="f" joinstyle="miter"/>
                  <v:imagedata r:id="rId133" o:title=""/>
                  <o:lock v:ext="edit" aspectratio="f"/>
                  <w10:wrap type="none"/>
                  <w10:anchorlock/>
                </v:shape>
                <o:OLEObject Type="Embed" ProgID="Visio.Drawing.11" ShapeID="_x0000_i1079" DrawAspect="Content" ObjectID="_1468075779" r:id="rId132">
                  <o:LockedField>false</o:LockedField>
                </o:OLEObject>
              </w:object>
            </w:r>
          </w:p>
        </w:tc>
      </w:tr>
    </w:tbl>
    <w:p>
      <w:pPr>
        <w:spacing w:line="360" w:lineRule="auto"/>
        <w:rPr>
          <w:rFonts w:ascii="微软雅黑" w:hAnsi="微软雅黑" w:eastAsia="微软雅黑"/>
        </w:rPr>
      </w:pPr>
    </w:p>
    <w:p>
      <w:pPr>
        <w:pStyle w:val="5"/>
        <w:rPr>
          <w:rFonts w:ascii="微软雅黑" w:hAnsi="微软雅黑" w:eastAsia="微软雅黑"/>
        </w:rPr>
      </w:pPr>
      <w:bookmarkStart w:id="62" w:name="_Toc508831149"/>
      <w:r>
        <w:rPr>
          <w:rFonts w:hint="eastAsia" w:ascii="微软雅黑" w:hAnsi="微软雅黑" w:eastAsia="微软雅黑"/>
        </w:rPr>
        <w:t>2.2.6.2功能模块</w:t>
      </w:r>
      <w:bookmarkEnd w:id="62"/>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2.2.6.2.1采购询价管理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管理和编制采购询价单信息，并将询价单发至有关供应商让其报价。业务员接收采购任务，并编制生成询价单，添加询价物资明细，导出后通过电子邮件，传真等方式发至供应商进行报价。采购询价单管理的主要信息包括：采购询价单基本信息、采购明细。</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14"/>
        </w:numPr>
        <w:spacing w:line="360" w:lineRule="auto"/>
        <w:rPr>
          <w:rFonts w:ascii="微软雅黑" w:hAnsi="微软雅黑" w:eastAsia="微软雅黑" w:cs="宋体"/>
          <w:sz w:val="24"/>
        </w:rPr>
      </w:pPr>
      <w:r>
        <w:rPr>
          <w:rFonts w:hint="eastAsia" w:ascii="微软雅黑" w:hAnsi="微软雅黑" w:eastAsia="微软雅黑" w:cs="宋体"/>
          <w:b/>
          <w:bCs/>
          <w:sz w:val="24"/>
        </w:rPr>
        <w:t>新增：</w:t>
      </w:r>
      <w:r>
        <w:rPr>
          <w:rFonts w:hint="eastAsia" w:ascii="微软雅黑" w:hAnsi="微软雅黑" w:eastAsia="微软雅黑" w:cs="宋体"/>
          <w:sz w:val="24"/>
        </w:rPr>
        <w:t>当有新的物资需询价时，点击该功能按钮进行新增询价单操作；</w:t>
      </w:r>
    </w:p>
    <w:p>
      <w:pPr>
        <w:numPr>
          <w:ilvl w:val="0"/>
          <w:numId w:val="14"/>
        </w:numPr>
        <w:spacing w:line="360" w:lineRule="auto"/>
        <w:rPr>
          <w:rFonts w:ascii="微软雅黑" w:hAnsi="微软雅黑" w:eastAsia="微软雅黑" w:cs="宋体"/>
          <w:sz w:val="24"/>
        </w:rPr>
      </w:pPr>
      <w:r>
        <w:rPr>
          <w:rFonts w:hint="eastAsia" w:ascii="微软雅黑" w:hAnsi="微软雅黑" w:eastAsia="微软雅黑" w:cs="宋体"/>
          <w:b/>
          <w:bCs/>
          <w:sz w:val="24"/>
        </w:rPr>
        <w:t>修改：</w:t>
      </w:r>
      <w:r>
        <w:rPr>
          <w:rFonts w:hint="eastAsia" w:ascii="微软雅黑" w:hAnsi="微软雅黑" w:eastAsia="微软雅黑" w:cs="宋体"/>
          <w:sz w:val="24"/>
        </w:rPr>
        <w:t>已编制未生效的询价单，当需要修改时，点击该功能按钮进行询价单信息的修改操作；</w:t>
      </w:r>
    </w:p>
    <w:p>
      <w:pPr>
        <w:numPr>
          <w:ilvl w:val="0"/>
          <w:numId w:val="14"/>
        </w:numPr>
        <w:spacing w:line="360" w:lineRule="auto"/>
        <w:rPr>
          <w:rFonts w:ascii="微软雅黑" w:hAnsi="微软雅黑" w:eastAsia="微软雅黑" w:cs="宋体"/>
          <w:sz w:val="24"/>
        </w:rPr>
      </w:pPr>
      <w:r>
        <w:rPr>
          <w:rFonts w:hint="eastAsia" w:ascii="微软雅黑" w:hAnsi="微软雅黑" w:eastAsia="微软雅黑" w:cs="宋体"/>
          <w:b/>
          <w:bCs/>
          <w:sz w:val="24"/>
        </w:rPr>
        <w:t>删除：</w:t>
      </w:r>
      <w:r>
        <w:rPr>
          <w:rFonts w:hint="eastAsia" w:ascii="微软雅黑" w:hAnsi="微软雅黑" w:eastAsia="微软雅黑" w:cs="宋体"/>
          <w:sz w:val="24"/>
        </w:rPr>
        <w:t>已编制未生效的询价单，当发现录入有误，需要删除时，点击该功能按钮进行询价单的删除操作；</w:t>
      </w:r>
    </w:p>
    <w:p>
      <w:pPr>
        <w:numPr>
          <w:ilvl w:val="0"/>
          <w:numId w:val="14"/>
        </w:numPr>
        <w:spacing w:line="360" w:lineRule="auto"/>
        <w:rPr>
          <w:rFonts w:ascii="微软雅黑" w:hAnsi="微软雅黑" w:eastAsia="微软雅黑" w:cs="宋体"/>
          <w:b/>
          <w:bCs/>
          <w:sz w:val="24"/>
        </w:rPr>
      </w:pPr>
      <w:r>
        <w:rPr>
          <w:rFonts w:hint="eastAsia" w:ascii="微软雅黑" w:hAnsi="微软雅黑" w:eastAsia="微软雅黑" w:cs="宋体"/>
          <w:b/>
          <w:bCs/>
          <w:sz w:val="24"/>
        </w:rPr>
        <w:t>浏览：</w:t>
      </w:r>
      <w:r>
        <w:rPr>
          <w:rFonts w:hint="eastAsia" w:ascii="微软雅黑" w:hAnsi="微软雅黑" w:eastAsia="微软雅黑" w:cs="宋体"/>
          <w:sz w:val="24"/>
        </w:rPr>
        <w:t>已编制的询价单，当需要浏览其详细询价物资明细时，点击该功能按钮进行询价单的浏览操作；</w:t>
      </w:r>
    </w:p>
    <w:p>
      <w:pPr>
        <w:numPr>
          <w:ilvl w:val="0"/>
          <w:numId w:val="14"/>
        </w:numPr>
        <w:spacing w:line="360" w:lineRule="auto"/>
        <w:rPr>
          <w:rFonts w:ascii="微软雅黑" w:hAnsi="微软雅黑" w:eastAsia="微软雅黑" w:cs="宋体"/>
          <w:sz w:val="24"/>
        </w:rPr>
      </w:pPr>
      <w:r>
        <w:rPr>
          <w:rFonts w:hint="eastAsia" w:ascii="微软雅黑" w:hAnsi="微软雅黑" w:eastAsia="微软雅黑" w:cs="宋体"/>
          <w:b/>
          <w:bCs/>
          <w:sz w:val="24"/>
        </w:rPr>
        <w:t>生效：</w:t>
      </w:r>
      <w:r>
        <w:rPr>
          <w:rFonts w:hint="eastAsia" w:ascii="微软雅黑" w:hAnsi="微软雅黑" w:eastAsia="微软雅黑" w:cs="宋体"/>
          <w:sz w:val="24"/>
        </w:rPr>
        <w:t>已编制未生效的询价单，当确认录入无误时，点击该功能按钮进行询价单的生效操作；</w:t>
      </w:r>
    </w:p>
    <w:p>
      <w:pPr>
        <w:numPr>
          <w:ilvl w:val="0"/>
          <w:numId w:val="14"/>
        </w:numPr>
        <w:spacing w:line="360" w:lineRule="auto"/>
        <w:rPr>
          <w:rFonts w:ascii="微软雅黑" w:hAnsi="微软雅黑" w:eastAsia="微软雅黑" w:cs="宋体"/>
          <w:sz w:val="24"/>
        </w:rPr>
      </w:pPr>
      <w:r>
        <w:rPr>
          <w:rFonts w:hint="eastAsia" w:ascii="微软雅黑" w:hAnsi="微软雅黑" w:eastAsia="微软雅黑" w:cs="宋体"/>
          <w:b/>
          <w:bCs/>
          <w:sz w:val="24"/>
        </w:rPr>
        <w:t>导出：</w:t>
      </w:r>
      <w:r>
        <w:rPr>
          <w:rFonts w:hint="eastAsia" w:ascii="微软雅黑" w:hAnsi="微软雅黑" w:eastAsia="微软雅黑" w:cs="宋体"/>
          <w:sz w:val="24"/>
        </w:rPr>
        <w:t>已生效的询价单，需导出Excel电子表格发至供应商时，点击该功能按钮进行询价单的导出操作；</w:t>
      </w:r>
    </w:p>
    <w:p>
      <w:pPr>
        <w:spacing w:line="360" w:lineRule="auto"/>
        <w:jc w:val="center"/>
        <w:rPr>
          <w:rFonts w:ascii="微软雅黑" w:hAnsi="微软雅黑" w:eastAsia="微软雅黑" w:cs="宋体"/>
          <w:sz w:val="24"/>
        </w:rPr>
      </w:pPr>
      <w:r>
        <w:rPr>
          <w:rFonts w:ascii="微软雅黑" w:hAnsi="微软雅黑" w:eastAsia="微软雅黑" w:cs="宋体"/>
          <w:sz w:val="24"/>
        </w:rPr>
        <w:drawing>
          <wp:inline distT="0" distB="0" distL="0" distR="0">
            <wp:extent cx="6300470" cy="1250315"/>
            <wp:effectExtent l="19050" t="0" r="508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34" cstate="print"/>
                    <a:srcRect/>
                    <a:stretch>
                      <a:fillRect/>
                    </a:stretch>
                  </pic:blipFill>
                  <pic:spPr>
                    <a:xfrm>
                      <a:off x="0" y="0"/>
                      <a:ext cx="6300470" cy="1250877"/>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（采购询价单管理参考界面）</w:t>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drawing>
          <wp:inline distT="0" distB="0" distL="0" distR="0">
            <wp:extent cx="6195695" cy="1733550"/>
            <wp:effectExtent l="1905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35" cstate="print"/>
                    <a:srcRect/>
                    <a:stretch>
                      <a:fillRect/>
                    </a:stretch>
                  </pic:blipFill>
                  <pic:spPr>
                    <a:xfrm>
                      <a:off x="0" y="0"/>
                      <a:ext cx="6208433" cy="1737114"/>
                    </a:xfrm>
                    <a:prstGeom prst="rect">
                      <a:avLst/>
                    </a:prstGeom>
                    <a:noFill/>
                    <a:ln w="9525">
                      <a:noFill/>
                      <a:miter lim="800000"/>
                      <a:headEnd/>
                      <a:tailEnd/>
                    </a:ln>
                  </pic:spPr>
                </pic:pic>
              </a:graphicData>
            </a:graphic>
          </wp:inline>
        </w:drawing>
      </w:r>
      <w:r>
        <w:rPr>
          <w:rFonts w:hint="eastAsia" w:ascii="微软雅黑" w:hAnsi="微软雅黑" w:eastAsia="微软雅黑" w:cs="宋体"/>
          <w:sz w:val="24"/>
        </w:rPr>
        <w:br w:type="textWrapping"/>
      </w:r>
      <w:r>
        <w:rPr>
          <w:rFonts w:hint="eastAsia" w:ascii="微软雅黑" w:hAnsi="微软雅黑" w:eastAsia="微软雅黑" w:cs="宋体"/>
          <w:sz w:val="24"/>
        </w:rPr>
        <w:t>（采购询价单明细参考界面）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2.2.6.2.2采购比价管理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管理和编制采购比价单信息，在供应商报价基础上进行比较并确定最优供应商。业务员对供应商反馈的报价单导入至系统内并进行价格比较，确定最终采购供应商。更好的降低企业采购成本，提供采购物资质量，提高企业时长竞争力。采购比价单主要包括：采购比价单基本信息、报价供应商信息、采购明细及报价。</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15"/>
        </w:numPr>
        <w:spacing w:line="360" w:lineRule="auto"/>
        <w:rPr>
          <w:rFonts w:ascii="微软雅黑" w:hAnsi="微软雅黑" w:eastAsia="微软雅黑" w:cs="宋体"/>
          <w:sz w:val="24"/>
        </w:rPr>
      </w:pPr>
      <w:r>
        <w:rPr>
          <w:rFonts w:hint="eastAsia" w:ascii="微软雅黑" w:hAnsi="微软雅黑" w:eastAsia="微软雅黑" w:cs="宋体"/>
          <w:b/>
          <w:bCs/>
          <w:sz w:val="24"/>
        </w:rPr>
        <w:t>新增：</w:t>
      </w:r>
      <w:r>
        <w:rPr>
          <w:rFonts w:hint="eastAsia" w:ascii="微软雅黑" w:hAnsi="微软雅黑" w:eastAsia="微软雅黑" w:cs="宋体"/>
          <w:sz w:val="24"/>
        </w:rPr>
        <w:t>当有新的采购比价单需录入系统时，业务员按要求录入客户/项目名称、采购标的详细描述及选择本次参与比价的供方信息，点击该功能按钮进行新增比价单的操作；</w:t>
      </w:r>
    </w:p>
    <w:p>
      <w:pPr>
        <w:numPr>
          <w:ilvl w:val="0"/>
          <w:numId w:val="15"/>
        </w:numPr>
        <w:spacing w:line="360" w:lineRule="auto"/>
        <w:rPr>
          <w:rFonts w:ascii="微软雅黑" w:hAnsi="微软雅黑" w:eastAsia="微软雅黑" w:cs="宋体"/>
          <w:sz w:val="24"/>
        </w:rPr>
      </w:pPr>
      <w:r>
        <w:rPr>
          <w:rFonts w:hint="eastAsia" w:ascii="微软雅黑" w:hAnsi="微软雅黑" w:eastAsia="微软雅黑" w:cs="宋体"/>
          <w:b/>
          <w:bCs/>
          <w:sz w:val="24"/>
        </w:rPr>
        <w:t>修改：</w:t>
      </w:r>
      <w:r>
        <w:rPr>
          <w:rFonts w:hint="eastAsia" w:ascii="微软雅黑" w:hAnsi="微软雅黑" w:eastAsia="微软雅黑" w:cs="宋体"/>
          <w:sz w:val="24"/>
        </w:rPr>
        <w:t>已编制未生效的比价单，当需要修改时，点击该功能按钮进行比价单信息的修改操作；</w:t>
      </w:r>
    </w:p>
    <w:p>
      <w:pPr>
        <w:numPr>
          <w:ilvl w:val="0"/>
          <w:numId w:val="15"/>
        </w:numPr>
        <w:spacing w:line="360" w:lineRule="auto"/>
        <w:rPr>
          <w:rFonts w:ascii="微软雅黑" w:hAnsi="微软雅黑" w:eastAsia="微软雅黑" w:cs="宋体"/>
          <w:sz w:val="24"/>
        </w:rPr>
      </w:pPr>
      <w:r>
        <w:rPr>
          <w:rFonts w:hint="eastAsia" w:ascii="微软雅黑" w:hAnsi="微软雅黑" w:eastAsia="微软雅黑" w:cs="宋体"/>
          <w:b/>
          <w:bCs/>
          <w:sz w:val="24"/>
        </w:rPr>
        <w:t>删除：</w:t>
      </w:r>
      <w:r>
        <w:rPr>
          <w:rFonts w:hint="eastAsia" w:ascii="微软雅黑" w:hAnsi="微软雅黑" w:eastAsia="微软雅黑" w:cs="宋体"/>
          <w:sz w:val="24"/>
        </w:rPr>
        <w:t>已编制未生效的比价单，当发现录入有误，需要删除时，点击该功能按钮进行比价单的删除操作；</w:t>
      </w:r>
    </w:p>
    <w:p>
      <w:pPr>
        <w:numPr>
          <w:ilvl w:val="0"/>
          <w:numId w:val="15"/>
        </w:numPr>
        <w:spacing w:line="360" w:lineRule="auto"/>
        <w:rPr>
          <w:rFonts w:ascii="微软雅黑" w:hAnsi="微软雅黑" w:eastAsia="微软雅黑" w:cs="宋体"/>
          <w:b/>
          <w:bCs/>
          <w:sz w:val="24"/>
        </w:rPr>
      </w:pPr>
      <w:r>
        <w:rPr>
          <w:rFonts w:hint="eastAsia" w:ascii="微软雅黑" w:hAnsi="微软雅黑" w:eastAsia="微软雅黑" w:cs="宋体"/>
          <w:b/>
          <w:bCs/>
          <w:sz w:val="24"/>
        </w:rPr>
        <w:t>浏览：</w:t>
      </w:r>
      <w:r>
        <w:rPr>
          <w:rFonts w:hint="eastAsia" w:ascii="微软雅黑" w:hAnsi="微软雅黑" w:eastAsia="微软雅黑" w:cs="宋体"/>
          <w:sz w:val="24"/>
        </w:rPr>
        <w:t>已编制的比价单，当需要浏览其详细比价单明细信息时，点击该功能按钮进行比价单的浏览操作；</w:t>
      </w:r>
    </w:p>
    <w:p>
      <w:pPr>
        <w:numPr>
          <w:ilvl w:val="0"/>
          <w:numId w:val="15"/>
        </w:numPr>
        <w:spacing w:line="360" w:lineRule="auto"/>
        <w:rPr>
          <w:rFonts w:ascii="微软雅黑" w:hAnsi="微软雅黑" w:eastAsia="微软雅黑" w:cs="宋体"/>
          <w:sz w:val="24"/>
        </w:rPr>
      </w:pPr>
      <w:r>
        <w:rPr>
          <w:rFonts w:hint="eastAsia" w:ascii="微软雅黑" w:hAnsi="微软雅黑" w:eastAsia="微软雅黑" w:cs="宋体"/>
          <w:b/>
          <w:bCs/>
          <w:sz w:val="24"/>
        </w:rPr>
        <w:t>生效：</w:t>
      </w:r>
      <w:r>
        <w:rPr>
          <w:rFonts w:hint="eastAsia" w:ascii="微软雅黑" w:hAnsi="微软雅黑" w:eastAsia="微软雅黑" w:cs="宋体"/>
          <w:sz w:val="24"/>
        </w:rPr>
        <w:t>已编制未生效的比价单，当确认录入无误时，点击该功能按钮进行比价单的生效操作；</w:t>
      </w:r>
    </w:p>
    <w:p>
      <w:pPr>
        <w:numPr>
          <w:ilvl w:val="0"/>
          <w:numId w:val="15"/>
        </w:numPr>
        <w:spacing w:line="360" w:lineRule="auto"/>
        <w:rPr>
          <w:rFonts w:ascii="微软雅黑" w:hAnsi="微软雅黑" w:eastAsia="微软雅黑" w:cs="宋体"/>
          <w:sz w:val="24"/>
        </w:rPr>
      </w:pPr>
      <w:r>
        <w:rPr>
          <w:rFonts w:hint="eastAsia" w:ascii="微软雅黑" w:hAnsi="微软雅黑" w:eastAsia="微软雅黑" w:cs="宋体"/>
          <w:b/>
          <w:bCs/>
          <w:sz w:val="24"/>
        </w:rPr>
        <w:t>导出比价单：</w:t>
      </w:r>
      <w:r>
        <w:rPr>
          <w:rFonts w:hint="eastAsia" w:ascii="微软雅黑" w:hAnsi="微软雅黑" w:eastAsia="微软雅黑" w:cs="宋体"/>
          <w:sz w:val="24"/>
        </w:rPr>
        <w:t>可导出比价单比价物料明细，在电子表格中进行供应商报价金额填写，需点击该功能按钮进行比价单导出操作；</w:t>
      </w:r>
    </w:p>
    <w:p>
      <w:pPr>
        <w:numPr>
          <w:ilvl w:val="0"/>
          <w:numId w:val="15"/>
        </w:numPr>
        <w:spacing w:line="360" w:lineRule="auto"/>
        <w:rPr>
          <w:rFonts w:ascii="微软雅黑" w:hAnsi="微软雅黑" w:eastAsia="微软雅黑" w:cs="宋体"/>
          <w:sz w:val="24"/>
        </w:rPr>
      </w:pPr>
      <w:r>
        <w:rPr>
          <w:rFonts w:hint="eastAsia" w:ascii="微软雅黑" w:hAnsi="微软雅黑" w:eastAsia="微软雅黑" w:cs="宋体"/>
          <w:b/>
          <w:bCs/>
          <w:sz w:val="24"/>
        </w:rPr>
        <w:t>导入比价单：</w:t>
      </w:r>
      <w:r>
        <w:rPr>
          <w:rFonts w:hint="eastAsia" w:ascii="微软雅黑" w:hAnsi="微软雅黑" w:eastAsia="微软雅黑" w:cs="宋体"/>
          <w:sz w:val="24"/>
        </w:rPr>
        <w:t>在电子表格中填写完供应商所报价格后，点击该功能按钮进行比价单的导入操作；</w:t>
      </w:r>
    </w:p>
    <w:p>
      <w:pPr>
        <w:spacing w:line="360" w:lineRule="auto"/>
        <w:jc w:val="center"/>
        <w:rPr>
          <w:rFonts w:ascii="微软雅黑" w:hAnsi="微软雅黑" w:eastAsia="微软雅黑" w:cs="宋体"/>
          <w:sz w:val="24"/>
        </w:rPr>
      </w:pPr>
      <w:r>
        <w:rPr>
          <w:rFonts w:ascii="微软雅黑" w:hAnsi="微软雅黑" w:eastAsia="微软雅黑" w:cs="宋体"/>
          <w:sz w:val="24"/>
        </w:rPr>
        <w:drawing>
          <wp:inline distT="0" distB="0" distL="0" distR="0">
            <wp:extent cx="6300470" cy="1331595"/>
            <wp:effectExtent l="19050" t="0" r="5080" b="0"/>
            <wp:docPr id="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1"/>
                    <pic:cNvPicPr>
                      <a:picLocks noChangeAspect="1" noChangeArrowheads="1"/>
                    </pic:cNvPicPr>
                  </pic:nvPicPr>
                  <pic:blipFill>
                    <a:blip r:embed="rId136" cstate="print"/>
                    <a:srcRect/>
                    <a:stretch>
                      <a:fillRect/>
                    </a:stretch>
                  </pic:blipFill>
                  <pic:spPr>
                    <a:xfrm>
                      <a:off x="0" y="0"/>
                      <a:ext cx="6300470" cy="1331752"/>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（采购比价单管理参考界面）</w:t>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drawing>
          <wp:inline distT="0" distB="0" distL="0" distR="0">
            <wp:extent cx="6300470" cy="3467735"/>
            <wp:effectExtent l="19050" t="0" r="508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137" cstate="print"/>
                    <a:srcRect/>
                    <a:stretch>
                      <a:fillRect/>
                    </a:stretch>
                  </pic:blipFill>
                  <pic:spPr>
                    <a:xfrm>
                      <a:off x="0" y="0"/>
                      <a:ext cx="6300470" cy="3467743"/>
                    </a:xfrm>
                    <a:prstGeom prst="rect">
                      <a:avLst/>
                    </a:prstGeom>
                    <a:noFill/>
                    <a:ln w="9525">
                      <a:noFill/>
                      <a:miter lim="800000"/>
                      <a:headEnd/>
                      <a:tailEnd/>
                    </a:ln>
                  </pic:spPr>
                </pic:pic>
              </a:graphicData>
            </a:graphic>
          </wp:inline>
        </w:drawing>
      </w:r>
      <w:r>
        <w:rPr>
          <w:rFonts w:hint="eastAsia" w:ascii="微软雅黑" w:hAnsi="微软雅黑" w:eastAsia="微软雅黑" w:cs="宋体"/>
          <w:sz w:val="24"/>
        </w:rPr>
        <w:t>（采购比价单供方参考界面）</w:t>
      </w:r>
    </w:p>
    <w:p>
      <w:pPr>
        <w:spacing w:line="360" w:lineRule="auto"/>
        <w:jc w:val="center"/>
      </w:pPr>
      <w:r>
        <w:drawing>
          <wp:inline distT="0" distB="0" distL="0" distR="0">
            <wp:extent cx="6300470" cy="1998980"/>
            <wp:effectExtent l="19050" t="0" r="508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138" cstate="print"/>
                    <a:srcRect/>
                    <a:stretch>
                      <a:fillRect/>
                    </a:stretch>
                  </pic:blipFill>
                  <pic:spPr>
                    <a:xfrm>
                      <a:off x="0" y="0"/>
                      <a:ext cx="6300470" cy="1999188"/>
                    </a:xfrm>
                    <a:prstGeom prst="rect">
                      <a:avLst/>
                    </a:prstGeom>
                    <a:noFill/>
                    <a:ln w="9525">
                      <a:noFill/>
                      <a:miter lim="800000"/>
                      <a:headEnd/>
                      <a:tailEnd/>
                    </a:ln>
                  </pic:spPr>
                </pic:pic>
              </a:graphicData>
            </a:graphic>
          </wp:inline>
        </w:drawing>
      </w:r>
    </w:p>
    <w:p>
      <w:pPr>
        <w:spacing w:line="360" w:lineRule="auto"/>
        <w:jc w:val="center"/>
      </w:pPr>
      <w:r>
        <w:rPr>
          <w:rFonts w:hint="eastAsia" w:ascii="微软雅黑" w:hAnsi="微软雅黑" w:eastAsia="微软雅黑" w:cs="宋体"/>
          <w:sz w:val="24"/>
        </w:rPr>
        <w:t>（采购比价单报价明细参考界面）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autoSpaceDE w:val="0"/>
        <w:autoSpaceDN w:val="0"/>
        <w:adjustRightInd w:val="0"/>
        <w:spacing w:beforeLines="50" w:afterLines="50" w:line="360" w:lineRule="auto"/>
        <w:jc w:val="left"/>
        <w:textAlignment w:val="baseline"/>
        <w:rPr>
          <w:rFonts w:ascii="微软雅黑" w:hAnsi="微软雅黑" w:eastAsia="微软雅黑"/>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2.2.6.2.3采购合同管理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管理和编制签订的采购合同信息。业务员接收采购任务，与供应商签订采购合同后，及时将合同信息录入系统，包括采购物料的数量、单价、金额等数据。采购合同编制管理的主要信息包括：采购合同基本信息、采购合同条款、采购合同明细。</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13"/>
        </w:numPr>
        <w:spacing w:line="360" w:lineRule="auto"/>
        <w:rPr>
          <w:rFonts w:ascii="微软雅黑" w:hAnsi="微软雅黑" w:eastAsia="微软雅黑" w:cs="宋体"/>
          <w:sz w:val="24"/>
        </w:rPr>
      </w:pPr>
      <w:r>
        <w:rPr>
          <w:rFonts w:hint="eastAsia" w:ascii="微软雅黑" w:hAnsi="微软雅黑" w:eastAsia="微软雅黑" w:cs="宋体"/>
          <w:b/>
          <w:bCs/>
          <w:sz w:val="24"/>
        </w:rPr>
        <w:t>新增：</w:t>
      </w:r>
      <w:r>
        <w:rPr>
          <w:rFonts w:hint="eastAsia" w:ascii="微软雅黑" w:hAnsi="微软雅黑" w:eastAsia="微软雅黑" w:cs="宋体"/>
          <w:sz w:val="24"/>
        </w:rPr>
        <w:t>当有新的采购合同信息需录入系统时，点击该功能按钮进行新增合同的操作；</w:t>
      </w:r>
    </w:p>
    <w:p>
      <w:pPr>
        <w:numPr>
          <w:ilvl w:val="0"/>
          <w:numId w:val="13"/>
        </w:numPr>
        <w:spacing w:line="360" w:lineRule="auto"/>
        <w:rPr>
          <w:rFonts w:ascii="微软雅黑" w:hAnsi="微软雅黑" w:eastAsia="微软雅黑" w:cs="宋体"/>
          <w:sz w:val="24"/>
        </w:rPr>
      </w:pPr>
      <w:r>
        <w:rPr>
          <w:rFonts w:hint="eastAsia" w:ascii="微软雅黑" w:hAnsi="微软雅黑" w:eastAsia="微软雅黑" w:cs="宋体"/>
          <w:b/>
          <w:bCs/>
          <w:sz w:val="24"/>
        </w:rPr>
        <w:t>修改：</w:t>
      </w:r>
      <w:r>
        <w:rPr>
          <w:rFonts w:hint="eastAsia" w:ascii="微软雅黑" w:hAnsi="微软雅黑" w:eastAsia="微软雅黑" w:cs="宋体"/>
          <w:sz w:val="24"/>
        </w:rPr>
        <w:t>已编制未提交的采购合同，当需要修改时，点击该功能按钮进行新的采购合同信息的修改操作；</w:t>
      </w:r>
    </w:p>
    <w:p>
      <w:pPr>
        <w:numPr>
          <w:ilvl w:val="0"/>
          <w:numId w:val="13"/>
        </w:numPr>
        <w:spacing w:line="360" w:lineRule="auto"/>
        <w:rPr>
          <w:rFonts w:ascii="微软雅黑" w:hAnsi="微软雅黑" w:eastAsia="微软雅黑" w:cs="宋体"/>
          <w:sz w:val="24"/>
        </w:rPr>
      </w:pPr>
      <w:r>
        <w:rPr>
          <w:rFonts w:hint="eastAsia" w:ascii="微软雅黑" w:hAnsi="微软雅黑" w:eastAsia="微软雅黑" w:cs="宋体"/>
          <w:b/>
          <w:bCs/>
          <w:sz w:val="24"/>
        </w:rPr>
        <w:t>删除：</w:t>
      </w:r>
      <w:r>
        <w:rPr>
          <w:rFonts w:hint="eastAsia" w:ascii="微软雅黑" w:hAnsi="微软雅黑" w:eastAsia="微软雅黑" w:cs="宋体"/>
          <w:sz w:val="24"/>
        </w:rPr>
        <w:t>已编制未提交的采购合同，当发现录入有误，需要删除时，点击该功能按钮进行采购合同的删除操作；</w:t>
      </w:r>
    </w:p>
    <w:p>
      <w:pPr>
        <w:numPr>
          <w:ilvl w:val="0"/>
          <w:numId w:val="13"/>
        </w:numPr>
        <w:spacing w:line="360" w:lineRule="auto"/>
        <w:rPr>
          <w:rFonts w:ascii="微软雅黑" w:hAnsi="微软雅黑" w:eastAsia="微软雅黑" w:cs="宋体"/>
          <w:b/>
          <w:bCs/>
          <w:sz w:val="24"/>
        </w:rPr>
      </w:pPr>
      <w:r>
        <w:rPr>
          <w:rFonts w:hint="eastAsia" w:ascii="微软雅黑" w:hAnsi="微软雅黑" w:eastAsia="微软雅黑" w:cs="宋体"/>
          <w:b/>
          <w:bCs/>
          <w:sz w:val="24"/>
        </w:rPr>
        <w:t>浏览：</w:t>
      </w:r>
      <w:r>
        <w:rPr>
          <w:rFonts w:hint="eastAsia" w:ascii="微软雅黑" w:hAnsi="微软雅黑" w:eastAsia="微软雅黑" w:cs="宋体"/>
          <w:sz w:val="24"/>
        </w:rPr>
        <w:t>已编制的合同，当需要浏览其详细合同信息时，点击该功能按钮进行合同的浏览操作；</w:t>
      </w:r>
    </w:p>
    <w:p>
      <w:pPr>
        <w:numPr>
          <w:ilvl w:val="0"/>
          <w:numId w:val="13"/>
        </w:numPr>
        <w:spacing w:line="360" w:lineRule="auto"/>
        <w:rPr>
          <w:rFonts w:ascii="微软雅黑" w:hAnsi="微软雅黑" w:eastAsia="微软雅黑" w:cs="宋体"/>
          <w:sz w:val="24"/>
        </w:rPr>
      </w:pPr>
      <w:r>
        <w:rPr>
          <w:rFonts w:hint="eastAsia" w:ascii="微软雅黑" w:hAnsi="微软雅黑" w:eastAsia="微软雅黑" w:cs="宋体"/>
          <w:b/>
          <w:bCs/>
          <w:sz w:val="24"/>
        </w:rPr>
        <w:t>提交：</w:t>
      </w:r>
      <w:r>
        <w:rPr>
          <w:rFonts w:hint="eastAsia" w:ascii="微软雅黑" w:hAnsi="微软雅黑" w:eastAsia="微软雅黑" w:cs="宋体"/>
          <w:sz w:val="24"/>
        </w:rPr>
        <w:t>已编制未提交的采购合同，当确认录入无误时，点击该功能按钮进行合同的提交操作；</w:t>
      </w:r>
    </w:p>
    <w:p>
      <w:pPr>
        <w:numPr>
          <w:ilvl w:val="0"/>
          <w:numId w:val="13"/>
        </w:numPr>
        <w:spacing w:line="360" w:lineRule="auto"/>
        <w:rPr>
          <w:rFonts w:ascii="微软雅黑" w:hAnsi="微软雅黑" w:eastAsia="微软雅黑" w:cs="宋体"/>
          <w:sz w:val="24"/>
        </w:rPr>
      </w:pPr>
      <w:r>
        <w:rPr>
          <w:rFonts w:hint="eastAsia" w:ascii="微软雅黑" w:hAnsi="微软雅黑" w:eastAsia="微软雅黑" w:cs="宋体"/>
          <w:b/>
          <w:bCs/>
          <w:sz w:val="24"/>
        </w:rPr>
        <w:t>撤销：</w:t>
      </w:r>
      <w:r>
        <w:rPr>
          <w:rFonts w:hint="eastAsia" w:ascii="微软雅黑" w:hAnsi="微软雅黑" w:eastAsia="微软雅黑" w:cs="宋体"/>
          <w:sz w:val="24"/>
        </w:rPr>
        <w:t>已编制已提交但未审核的采购合同，当发现提交后，采购合同信息录入有误时，点击该功能按钮进行合同的撤销提交操作；</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114300" distR="114300">
            <wp:extent cx="6298565" cy="2129790"/>
            <wp:effectExtent l="0" t="0" r="10795" b="381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39" cstate="print"/>
                    <a:stretch>
                      <a:fillRect/>
                    </a:stretch>
                  </pic:blipFill>
                  <pic:spPr>
                    <a:xfrm>
                      <a:off x="0" y="0"/>
                      <a:ext cx="6298565" cy="2129790"/>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（采购合同录入管理参考界面）</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114300" distR="114300">
            <wp:extent cx="6285865" cy="1481455"/>
            <wp:effectExtent l="0" t="0" r="8255" b="1206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40" cstate="print"/>
                    <a:stretch>
                      <a:fillRect/>
                    </a:stretch>
                  </pic:blipFill>
                  <pic:spPr>
                    <a:xfrm>
                      <a:off x="0" y="0"/>
                      <a:ext cx="6285865" cy="1481455"/>
                    </a:xfrm>
                    <a:prstGeom prst="rect">
                      <a:avLst/>
                    </a:prstGeom>
                    <a:noFill/>
                    <a:ln w="9525">
                      <a:noFill/>
                    </a:ln>
                  </pic:spPr>
                </pic:pic>
              </a:graphicData>
            </a:graphic>
          </wp:inline>
        </w:drawing>
      </w:r>
      <w:r>
        <w:rPr>
          <w:rFonts w:hint="eastAsia" w:ascii="微软雅黑" w:hAnsi="微软雅黑" w:eastAsia="微软雅黑" w:cs="宋体"/>
          <w:sz w:val="24"/>
        </w:rPr>
        <w:br w:type="textWrapping"/>
      </w:r>
      <w:r>
        <w:rPr>
          <w:rFonts w:hint="eastAsia" w:ascii="微软雅黑" w:hAnsi="微软雅黑" w:eastAsia="微软雅黑" w:cs="宋体"/>
          <w:sz w:val="24"/>
        </w:rPr>
        <w:t>（采购合同录入详细参考界面）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63" w:name="_Toc32132"/>
      <w:r>
        <w:rPr>
          <w:rFonts w:hint="eastAsia" w:ascii="微软雅黑" w:hAnsi="微软雅黑" w:eastAsia="微软雅黑"/>
        </w:rPr>
        <w:t>2.2.6.2.4采购合同审核管理</w:t>
      </w:r>
      <w:bookmarkEnd w:id="63"/>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该模块主要用来审核签订的采购合同信息。业务员签订采购合同后，将合同信息录入系统后提交审核。</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16"/>
        </w:numPr>
        <w:spacing w:line="360" w:lineRule="auto"/>
        <w:rPr>
          <w:rFonts w:ascii="微软雅黑" w:hAnsi="微软雅黑" w:eastAsia="微软雅黑" w:cs="宋体"/>
          <w:sz w:val="24"/>
        </w:rPr>
      </w:pPr>
      <w:r>
        <w:rPr>
          <w:rFonts w:hint="eastAsia" w:ascii="微软雅黑" w:hAnsi="微软雅黑" w:eastAsia="微软雅黑" w:cs="宋体"/>
          <w:b/>
          <w:bCs/>
          <w:sz w:val="24"/>
        </w:rPr>
        <w:t>驳回：</w:t>
      </w:r>
      <w:r>
        <w:rPr>
          <w:rFonts w:hint="eastAsia" w:ascii="微软雅黑" w:hAnsi="微软雅黑" w:eastAsia="微软雅黑" w:cs="宋体"/>
          <w:sz w:val="24"/>
        </w:rPr>
        <w:t>当采购合同信息有误不能通过时，点击该功能按钮进行驳回合同的操作；</w:t>
      </w:r>
    </w:p>
    <w:p>
      <w:pPr>
        <w:numPr>
          <w:ilvl w:val="0"/>
          <w:numId w:val="16"/>
        </w:numPr>
        <w:spacing w:line="360" w:lineRule="auto"/>
        <w:rPr>
          <w:rFonts w:ascii="微软雅黑" w:hAnsi="微软雅黑" w:eastAsia="微软雅黑" w:cs="宋体"/>
          <w:sz w:val="24"/>
        </w:rPr>
      </w:pPr>
      <w:r>
        <w:rPr>
          <w:rFonts w:hint="eastAsia" w:ascii="微软雅黑" w:hAnsi="微软雅黑" w:eastAsia="微软雅黑" w:cs="宋体"/>
          <w:b/>
          <w:bCs/>
          <w:sz w:val="24"/>
        </w:rPr>
        <w:t>审核：</w:t>
      </w:r>
      <w:r>
        <w:rPr>
          <w:rFonts w:hint="eastAsia" w:ascii="微软雅黑" w:hAnsi="微软雅黑" w:eastAsia="微软雅黑" w:cs="宋体"/>
          <w:sz w:val="24"/>
        </w:rPr>
        <w:t>已提交的采购合同，点击该功能按钮进行采购合同的审核操作；</w:t>
      </w:r>
    </w:p>
    <w:p>
      <w:pPr>
        <w:numPr>
          <w:ilvl w:val="0"/>
          <w:numId w:val="16"/>
        </w:numPr>
        <w:spacing w:line="360" w:lineRule="auto"/>
        <w:rPr>
          <w:rFonts w:ascii="微软雅黑" w:hAnsi="微软雅黑" w:eastAsia="微软雅黑" w:cs="宋体"/>
          <w:sz w:val="24"/>
        </w:rPr>
      </w:pPr>
      <w:r>
        <w:rPr>
          <w:rFonts w:hint="eastAsia" w:ascii="微软雅黑" w:hAnsi="微软雅黑" w:eastAsia="微软雅黑" w:cs="宋体"/>
          <w:b/>
          <w:bCs/>
          <w:sz w:val="24"/>
        </w:rPr>
        <w:t>撤销：</w:t>
      </w:r>
      <w:r>
        <w:rPr>
          <w:rFonts w:hint="eastAsia" w:ascii="微软雅黑" w:hAnsi="微软雅黑" w:eastAsia="微软雅黑" w:cs="宋体"/>
          <w:sz w:val="24"/>
        </w:rPr>
        <w:t>已审核的采购合同，当发现错误时，点击该功能按钮进行采购合同的撤销操作；</w:t>
      </w:r>
    </w:p>
    <w:p>
      <w:pPr>
        <w:spacing w:line="360" w:lineRule="auto"/>
        <w:rPr>
          <w:rFonts w:ascii="微软雅黑" w:hAnsi="微软雅黑" w:eastAsia="微软雅黑"/>
        </w:rPr>
      </w:pPr>
      <w:r>
        <w:rPr>
          <w:rFonts w:ascii="微软雅黑" w:hAnsi="微软雅黑" w:eastAsia="微软雅黑"/>
        </w:rPr>
        <w:drawing>
          <wp:inline distT="0" distB="0" distL="114300" distR="114300">
            <wp:extent cx="6290945" cy="2254885"/>
            <wp:effectExtent l="0" t="0" r="3175" b="63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41" cstate="print"/>
                    <a:stretch>
                      <a:fillRect/>
                    </a:stretch>
                  </pic:blipFill>
                  <pic:spPr>
                    <a:xfrm>
                      <a:off x="0" y="0"/>
                      <a:ext cx="6290945" cy="2254885"/>
                    </a:xfrm>
                    <a:prstGeom prst="rect">
                      <a:avLst/>
                    </a:prstGeom>
                    <a:noFill/>
                    <a:ln w="9525">
                      <a:noFill/>
                    </a:ln>
                  </pic:spPr>
                </pic:pic>
              </a:graphicData>
            </a:graphic>
          </wp:inline>
        </w:drawing>
      </w:r>
    </w:p>
    <w:p>
      <w:pPr>
        <w:spacing w:line="360" w:lineRule="auto"/>
        <w:jc w:val="center"/>
        <w:rPr>
          <w:rFonts w:ascii="微软雅黑" w:hAnsi="微软雅黑" w:eastAsia="微软雅黑"/>
        </w:rPr>
      </w:pPr>
      <w:r>
        <w:rPr>
          <w:rFonts w:hint="eastAsia" w:ascii="微软雅黑" w:hAnsi="微软雅黑" w:eastAsia="微软雅黑" w:cs="宋体"/>
          <w:sz w:val="24"/>
        </w:rPr>
        <w:t>（采购合同审核管理参考界面）</w:t>
      </w: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2.2.6.2.5采购入库管理</w:t>
      </w:r>
    </w:p>
    <w:p>
      <w:pPr>
        <w:spacing w:line="360" w:lineRule="auto"/>
        <w:rPr>
          <w:rFonts w:ascii="微软雅黑" w:hAnsi="微软雅黑" w:eastAsia="微软雅黑"/>
        </w:rPr>
      </w:pPr>
      <w:r>
        <w:rPr>
          <w:rFonts w:hint="eastAsia" w:ascii="微软雅黑" w:hAnsi="微软雅黑" w:eastAsia="微软雅黑"/>
        </w:rPr>
        <w:t xml:space="preserve">    </w:t>
      </w:r>
      <w:r>
        <w:rPr>
          <w:rFonts w:hint="eastAsia" w:ascii="微软雅黑" w:hAnsi="微软雅黑" w:eastAsia="微软雅黑"/>
          <w:sz w:val="24"/>
          <w:szCs w:val="24"/>
        </w:rPr>
        <w:t xml:space="preserve"> 该模块主要用于采购员用于对实际采购的物资发起入库申请操作。</w:t>
      </w:r>
      <w:r>
        <w:rPr>
          <w:rFonts w:hint="eastAsia" w:ascii="微软雅黑" w:hAnsi="微软雅黑" w:eastAsia="微软雅黑" w:cs="宋体"/>
          <w:sz w:val="24"/>
          <w:szCs w:val="24"/>
        </w:rPr>
        <w:t>采购员根据实际物料到货情况，发起入库申请，填写入库的物料、仓库、数量等信息，生成对应的入库申请单，并提交入库单至质检部</w:t>
      </w:r>
      <w:r>
        <w:rPr>
          <w:rFonts w:hint="eastAsia" w:ascii="微软雅黑" w:hAnsi="微软雅黑" w:eastAsia="微软雅黑" w:cs="微软雅黑"/>
        </w:rPr>
        <w:t>。</w:t>
      </w:r>
      <w:r>
        <w:rPr>
          <w:rFonts w:hint="eastAsia" w:ascii="微软雅黑" w:hAnsi="微软雅黑" w:eastAsia="微软雅黑"/>
        </w:rPr>
        <w:t>质检通过后转入WMS系统。</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17"/>
        </w:numPr>
        <w:spacing w:line="360" w:lineRule="auto"/>
        <w:rPr>
          <w:rFonts w:ascii="微软雅黑" w:hAnsi="微软雅黑" w:eastAsia="微软雅黑"/>
        </w:rPr>
      </w:pPr>
      <w:r>
        <w:rPr>
          <w:rFonts w:hint="eastAsia" w:ascii="微软雅黑" w:hAnsi="微软雅黑" w:eastAsia="微软雅黑"/>
          <w:b/>
          <w:bCs/>
          <w:sz w:val="24"/>
          <w:szCs w:val="24"/>
        </w:rPr>
        <w:t>新增：</w:t>
      </w:r>
      <w:r>
        <w:rPr>
          <w:rFonts w:hint="eastAsia" w:ascii="微软雅黑" w:hAnsi="微软雅黑" w:eastAsia="微软雅黑"/>
          <w:sz w:val="24"/>
          <w:szCs w:val="24"/>
        </w:rPr>
        <w:t>当</w:t>
      </w:r>
      <w:r>
        <w:rPr>
          <w:rFonts w:hint="eastAsia" w:ascii="微软雅黑" w:hAnsi="微软雅黑" w:eastAsia="微软雅黑" w:cs="宋体"/>
          <w:sz w:val="24"/>
        </w:rPr>
        <w:t>有采购物料需在系统中进行入库，点击该功能按钮进行新增物料入库的操作。</w:t>
      </w:r>
    </w:p>
    <w:p>
      <w:pPr>
        <w:numPr>
          <w:ilvl w:val="0"/>
          <w:numId w:val="17"/>
        </w:numPr>
        <w:spacing w:line="360" w:lineRule="auto"/>
        <w:rPr>
          <w:rFonts w:ascii="微软雅黑" w:hAnsi="微软雅黑" w:eastAsia="微软雅黑" w:cs="宋体"/>
          <w:sz w:val="24"/>
        </w:rPr>
      </w:pPr>
      <w:r>
        <w:rPr>
          <w:rFonts w:hint="eastAsia" w:ascii="微软雅黑" w:hAnsi="微软雅黑" w:eastAsia="微软雅黑" w:cs="宋体"/>
          <w:b/>
          <w:bCs/>
          <w:sz w:val="24"/>
          <w:szCs w:val="24"/>
        </w:rPr>
        <w:t>删除:</w:t>
      </w:r>
      <w:r>
        <w:rPr>
          <w:rFonts w:hint="eastAsia" w:ascii="微软雅黑" w:hAnsi="微软雅黑" w:eastAsia="微软雅黑" w:cs="宋体"/>
          <w:sz w:val="24"/>
          <w:szCs w:val="24"/>
        </w:rPr>
        <w:t>待</w:t>
      </w:r>
      <w:r>
        <w:rPr>
          <w:rFonts w:hint="eastAsia" w:ascii="微软雅黑" w:hAnsi="微软雅黑" w:eastAsia="微软雅黑" w:cs="宋体"/>
          <w:sz w:val="24"/>
        </w:rPr>
        <w:t>提交的采购物料，当发现录入有误，需要删除时，点击该功能按钮进行采购入库的删除操作；</w:t>
      </w:r>
    </w:p>
    <w:p>
      <w:pPr>
        <w:numPr>
          <w:ilvl w:val="0"/>
          <w:numId w:val="17"/>
        </w:numPr>
        <w:spacing w:line="360" w:lineRule="auto"/>
        <w:rPr>
          <w:rFonts w:ascii="微软雅黑" w:hAnsi="微软雅黑" w:eastAsia="微软雅黑" w:cs="宋体"/>
          <w:sz w:val="24"/>
        </w:rPr>
      </w:pPr>
      <w:r>
        <w:rPr>
          <w:rFonts w:hint="eastAsia" w:ascii="微软雅黑" w:hAnsi="微软雅黑" w:eastAsia="微软雅黑" w:cs="宋体"/>
          <w:b/>
          <w:bCs/>
          <w:sz w:val="24"/>
        </w:rPr>
        <w:t>提交:</w:t>
      </w:r>
      <w:r>
        <w:rPr>
          <w:rFonts w:hint="eastAsia" w:ascii="微软雅黑" w:hAnsi="微软雅黑" w:eastAsia="微软雅黑" w:cs="宋体"/>
          <w:sz w:val="24"/>
        </w:rPr>
        <w:t>已新增未提交的采购物料，当确认录入无误时，点击该功能按钮进行采购物料的申请入库提交操作；</w:t>
      </w:r>
    </w:p>
    <w:p>
      <w:pPr>
        <w:numPr>
          <w:ilvl w:val="0"/>
          <w:numId w:val="17"/>
        </w:numPr>
        <w:spacing w:line="360" w:lineRule="auto"/>
        <w:rPr>
          <w:rFonts w:ascii="微软雅黑" w:hAnsi="微软雅黑" w:eastAsia="微软雅黑" w:cs="宋体"/>
          <w:b/>
          <w:bCs/>
          <w:sz w:val="24"/>
        </w:rPr>
      </w:pPr>
      <w:r>
        <w:rPr>
          <w:rFonts w:hint="eastAsia" w:ascii="微软雅黑" w:hAnsi="微软雅黑" w:eastAsia="微软雅黑" w:cs="宋体"/>
          <w:b/>
          <w:bCs/>
          <w:sz w:val="24"/>
        </w:rPr>
        <w:t>撤销:</w:t>
      </w:r>
      <w:r>
        <w:rPr>
          <w:rFonts w:hint="eastAsia" w:ascii="微软雅黑" w:hAnsi="微软雅黑" w:eastAsia="微软雅黑" w:cs="宋体"/>
          <w:sz w:val="24"/>
        </w:rPr>
        <w:t>已审核的入库申请未入库时，当发现错误时，点击该功能按钮进行采购物料入库申请的撤销操作；</w:t>
      </w:r>
    </w:p>
    <w:p>
      <w:pPr>
        <w:spacing w:line="360" w:lineRule="auto"/>
        <w:ind w:left="400"/>
        <w:rPr>
          <w:rFonts w:ascii="微软雅黑" w:hAnsi="微软雅黑" w:eastAsia="微软雅黑" w:cs="宋体"/>
          <w:b/>
          <w:bCs/>
          <w:sz w:val="24"/>
        </w:rPr>
      </w:pPr>
      <w:r>
        <w:rPr>
          <w:rFonts w:hint="eastAsia" w:ascii="微软雅黑" w:hAnsi="微软雅黑" w:eastAsia="微软雅黑" w:cs="宋体"/>
          <w:b/>
          <w:bCs/>
          <w:sz w:val="24"/>
        </w:rPr>
        <w:t xml:space="preserve"> </w:t>
      </w:r>
    </w:p>
    <w:p>
      <w:pPr>
        <w:spacing w:line="360" w:lineRule="auto"/>
        <w:ind w:left="400"/>
        <w:rPr>
          <w:rFonts w:ascii="微软雅黑" w:hAnsi="微软雅黑" w:eastAsia="微软雅黑"/>
        </w:rPr>
      </w:pPr>
      <w:r>
        <w:rPr>
          <w:rFonts w:ascii="微软雅黑" w:hAnsi="微软雅黑" w:eastAsia="微软雅黑"/>
        </w:rPr>
        <w:drawing>
          <wp:inline distT="0" distB="0" distL="114300" distR="114300">
            <wp:extent cx="6289675" cy="1654810"/>
            <wp:effectExtent l="0" t="0" r="4445" b="635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42" cstate="print"/>
                    <a:stretch>
                      <a:fillRect/>
                    </a:stretch>
                  </pic:blipFill>
                  <pic:spPr>
                    <a:xfrm>
                      <a:off x="0" y="0"/>
                      <a:ext cx="6289675" cy="1654810"/>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（采购入库管理参考界面）</w:t>
      </w:r>
    </w:p>
    <w:p>
      <w:pPr>
        <w:spacing w:line="360" w:lineRule="auto"/>
        <w:ind w:firstLine="420"/>
        <w:jc w:val="center"/>
        <w:rPr>
          <w:rFonts w:ascii="微软雅黑" w:hAnsi="微软雅黑" w:eastAsia="微软雅黑" w:cs="宋体"/>
          <w:sz w:val="24"/>
        </w:rPr>
      </w:pPr>
      <w:r>
        <w:rPr>
          <w:rFonts w:ascii="微软雅黑" w:hAnsi="微软雅黑" w:eastAsia="微软雅黑"/>
        </w:rPr>
        <w:drawing>
          <wp:inline distT="0" distB="0" distL="114300" distR="114300">
            <wp:extent cx="6299835" cy="2963545"/>
            <wp:effectExtent l="0" t="0" r="9525" b="825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43" cstate="print"/>
                    <a:stretch>
                      <a:fillRect/>
                    </a:stretch>
                  </pic:blipFill>
                  <pic:spPr>
                    <a:xfrm>
                      <a:off x="0" y="0"/>
                      <a:ext cx="6299835" cy="2963545"/>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（采购入库新增参考界面）</w:t>
      </w:r>
    </w:p>
    <w:p>
      <w:pPr>
        <w:spacing w:line="360" w:lineRule="auto"/>
        <w:jc w:val="center"/>
        <w:rPr>
          <w:rFonts w:ascii="微软雅黑" w:hAnsi="微软雅黑" w:eastAsia="微软雅黑"/>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2.2.6.2.6采购发票管理</w:t>
      </w:r>
    </w:p>
    <w:p>
      <w:pPr>
        <w:spacing w:line="360" w:lineRule="auto"/>
        <w:rPr>
          <w:rFonts w:ascii="微软雅黑" w:hAnsi="微软雅黑" w:eastAsia="微软雅黑"/>
          <w:sz w:val="24"/>
          <w:szCs w:val="24"/>
        </w:rPr>
      </w:pPr>
      <w:r>
        <w:rPr>
          <w:rFonts w:hint="eastAsia" w:ascii="微软雅黑" w:hAnsi="微软雅黑" w:eastAsia="微软雅黑"/>
        </w:rPr>
        <w:t xml:space="preserve">     </w:t>
      </w:r>
      <w:r>
        <w:rPr>
          <w:rFonts w:hint="eastAsia" w:ascii="微软雅黑" w:hAnsi="微软雅黑" w:eastAsia="微软雅黑"/>
          <w:sz w:val="24"/>
          <w:szCs w:val="24"/>
        </w:rPr>
        <w:t>该模块主要用于对采购发票进行维护的操作。采购员根据实际发票内容，在系统中录入，生成发票申请单，提交发票申请单至主管部门进行审核。</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18"/>
        </w:numPr>
        <w:spacing w:line="360" w:lineRule="auto"/>
        <w:rPr>
          <w:rFonts w:ascii="微软雅黑" w:hAnsi="微软雅黑" w:eastAsia="微软雅黑"/>
        </w:rPr>
      </w:pPr>
      <w:r>
        <w:rPr>
          <w:rFonts w:hint="eastAsia" w:ascii="微软雅黑" w:hAnsi="微软雅黑" w:eastAsia="微软雅黑" w:cs="宋体"/>
          <w:b/>
          <w:bCs/>
          <w:sz w:val="24"/>
        </w:rPr>
        <w:t>新增:</w:t>
      </w:r>
      <w:r>
        <w:rPr>
          <w:rFonts w:hint="eastAsia" w:ascii="微软雅黑" w:hAnsi="微软雅黑" w:eastAsia="微软雅黑"/>
          <w:sz w:val="24"/>
          <w:szCs w:val="24"/>
        </w:rPr>
        <w:t>当</w:t>
      </w:r>
      <w:r>
        <w:rPr>
          <w:rFonts w:hint="eastAsia" w:ascii="微软雅黑" w:hAnsi="微软雅黑" w:eastAsia="微软雅黑" w:cs="宋体"/>
          <w:sz w:val="24"/>
        </w:rPr>
        <w:t>有采购发票需要在系统中进行录入时，点击该功能按钮进行新增发票的操作。</w:t>
      </w:r>
    </w:p>
    <w:p>
      <w:pPr>
        <w:numPr>
          <w:ilvl w:val="0"/>
          <w:numId w:val="18"/>
        </w:numPr>
        <w:spacing w:line="360" w:lineRule="auto"/>
        <w:rPr>
          <w:rFonts w:ascii="微软雅黑" w:hAnsi="微软雅黑" w:eastAsia="微软雅黑" w:cs="宋体"/>
          <w:sz w:val="24"/>
        </w:rPr>
      </w:pPr>
      <w:r>
        <w:rPr>
          <w:rFonts w:hint="eastAsia" w:ascii="微软雅黑" w:hAnsi="微软雅黑" w:eastAsia="微软雅黑" w:cs="宋体"/>
          <w:b/>
          <w:bCs/>
          <w:sz w:val="24"/>
        </w:rPr>
        <w:t>修改:</w:t>
      </w:r>
      <w:r>
        <w:rPr>
          <w:rFonts w:hint="eastAsia" w:ascii="微软雅黑" w:hAnsi="微软雅黑" w:eastAsia="微软雅黑" w:cs="宋体"/>
          <w:sz w:val="24"/>
        </w:rPr>
        <w:t>已新增未提交的采购发票，当需要修改时，点击该功能按钮进行新的采购发票信息的修改操作；</w:t>
      </w:r>
    </w:p>
    <w:p>
      <w:pPr>
        <w:numPr>
          <w:ilvl w:val="0"/>
          <w:numId w:val="18"/>
        </w:numPr>
        <w:spacing w:line="360" w:lineRule="auto"/>
        <w:rPr>
          <w:rFonts w:ascii="微软雅黑" w:hAnsi="微软雅黑" w:eastAsia="微软雅黑" w:cs="宋体"/>
          <w:sz w:val="24"/>
        </w:rPr>
      </w:pPr>
      <w:r>
        <w:rPr>
          <w:rFonts w:hint="eastAsia" w:ascii="微软雅黑" w:hAnsi="微软雅黑" w:eastAsia="微软雅黑"/>
          <w:b/>
          <w:bCs/>
        </w:rPr>
        <w:t>删除:</w:t>
      </w:r>
      <w:r>
        <w:rPr>
          <w:rFonts w:hint="eastAsia" w:ascii="微软雅黑" w:hAnsi="微软雅黑" w:eastAsia="微软雅黑" w:cs="宋体"/>
          <w:sz w:val="24"/>
        </w:rPr>
        <w:t>已新增未提交的采购发票，当发现录入有误，需要删除时，点击该功能按钮进行采购发票的删除操作；</w:t>
      </w:r>
    </w:p>
    <w:p>
      <w:pPr>
        <w:numPr>
          <w:ilvl w:val="0"/>
          <w:numId w:val="18"/>
        </w:numPr>
        <w:spacing w:line="360" w:lineRule="auto"/>
        <w:rPr>
          <w:rFonts w:ascii="微软雅黑" w:hAnsi="微软雅黑" w:eastAsia="微软雅黑" w:cs="宋体"/>
          <w:sz w:val="24"/>
        </w:rPr>
      </w:pPr>
      <w:r>
        <w:rPr>
          <w:rFonts w:hint="eastAsia" w:ascii="微软雅黑" w:hAnsi="微软雅黑" w:eastAsia="微软雅黑" w:cs="宋体"/>
          <w:b/>
          <w:bCs/>
          <w:sz w:val="24"/>
        </w:rPr>
        <w:t>保存:</w:t>
      </w:r>
      <w:r>
        <w:rPr>
          <w:rFonts w:hint="eastAsia" w:ascii="微软雅黑" w:hAnsi="微软雅黑" w:eastAsia="微软雅黑" w:cs="宋体"/>
          <w:sz w:val="24"/>
        </w:rPr>
        <w:t>已新增未提交的采购发票,输入开票金额，需要保存暂不提交时，点击该功能按钮进行采购发票的保存操作；</w:t>
      </w:r>
    </w:p>
    <w:p>
      <w:pPr>
        <w:numPr>
          <w:ilvl w:val="0"/>
          <w:numId w:val="18"/>
        </w:numPr>
        <w:spacing w:line="360" w:lineRule="auto"/>
        <w:rPr>
          <w:rFonts w:ascii="微软雅黑" w:hAnsi="微软雅黑" w:eastAsia="微软雅黑" w:cs="宋体"/>
          <w:sz w:val="24"/>
        </w:rPr>
      </w:pPr>
      <w:r>
        <w:rPr>
          <w:rFonts w:hint="eastAsia" w:ascii="微软雅黑" w:hAnsi="微软雅黑" w:eastAsia="微软雅黑" w:cs="宋体"/>
          <w:b/>
          <w:bCs/>
          <w:sz w:val="24"/>
        </w:rPr>
        <w:t>调整明细:</w:t>
      </w:r>
      <w:r>
        <w:rPr>
          <w:rFonts w:hint="eastAsia" w:ascii="微软雅黑" w:hAnsi="微软雅黑" w:eastAsia="微软雅黑" w:cs="宋体"/>
          <w:sz w:val="24"/>
        </w:rPr>
        <w:t>已新增未提交的采购发票,当发需要调整发票明细内容时，点击该功能按钮进行采购发票的明细内容调整操作；</w:t>
      </w:r>
    </w:p>
    <w:p>
      <w:pPr>
        <w:numPr>
          <w:ilvl w:val="0"/>
          <w:numId w:val="18"/>
        </w:numPr>
        <w:spacing w:line="360" w:lineRule="auto"/>
        <w:rPr>
          <w:rFonts w:ascii="微软雅黑" w:hAnsi="微软雅黑" w:eastAsia="微软雅黑" w:cs="宋体"/>
          <w:b/>
          <w:bCs/>
          <w:sz w:val="24"/>
        </w:rPr>
      </w:pPr>
      <w:r>
        <w:rPr>
          <w:rFonts w:hint="eastAsia" w:ascii="微软雅黑" w:hAnsi="微软雅黑" w:eastAsia="微软雅黑" w:cs="宋体"/>
          <w:b/>
          <w:bCs/>
          <w:sz w:val="24"/>
        </w:rPr>
        <w:t>浏览:</w:t>
      </w:r>
      <w:r>
        <w:rPr>
          <w:rFonts w:hint="eastAsia" w:ascii="微软雅黑" w:hAnsi="微软雅黑" w:eastAsia="微软雅黑" w:cs="宋体"/>
          <w:sz w:val="24"/>
        </w:rPr>
        <w:t>当需要浏览其详细采购发票明细信息时，点击该功能按钮进行发票的浏览操作；</w:t>
      </w:r>
    </w:p>
    <w:p>
      <w:pPr>
        <w:numPr>
          <w:ilvl w:val="0"/>
          <w:numId w:val="18"/>
        </w:numPr>
        <w:spacing w:line="360" w:lineRule="auto"/>
        <w:rPr>
          <w:rFonts w:ascii="微软雅黑" w:hAnsi="微软雅黑" w:eastAsia="微软雅黑" w:cs="宋体"/>
          <w:sz w:val="24"/>
        </w:rPr>
      </w:pPr>
      <w:r>
        <w:rPr>
          <w:rFonts w:hint="eastAsia" w:ascii="微软雅黑" w:hAnsi="微软雅黑" w:eastAsia="微软雅黑" w:cs="宋体"/>
          <w:b/>
          <w:bCs/>
          <w:sz w:val="24"/>
        </w:rPr>
        <w:t>提交:</w:t>
      </w:r>
      <w:r>
        <w:rPr>
          <w:rFonts w:hint="eastAsia" w:ascii="微软雅黑" w:hAnsi="微软雅黑" w:eastAsia="微软雅黑" w:cs="宋体"/>
          <w:sz w:val="24"/>
        </w:rPr>
        <w:t>已新增未提交的采购发票，当确认录入无误时，点击该功能按钮进行发票的提交操作；</w:t>
      </w:r>
    </w:p>
    <w:p>
      <w:pPr>
        <w:numPr>
          <w:ilvl w:val="0"/>
          <w:numId w:val="18"/>
        </w:numPr>
        <w:spacing w:line="360" w:lineRule="auto"/>
        <w:rPr>
          <w:rFonts w:ascii="微软雅黑" w:hAnsi="微软雅黑" w:eastAsia="微软雅黑" w:cs="宋体"/>
          <w:sz w:val="24"/>
        </w:rPr>
      </w:pPr>
      <w:r>
        <w:rPr>
          <w:rFonts w:hint="eastAsia" w:ascii="微软雅黑" w:hAnsi="微软雅黑" w:eastAsia="微软雅黑" w:cs="宋体"/>
          <w:b/>
          <w:bCs/>
          <w:sz w:val="24"/>
        </w:rPr>
        <w:t>撤销:</w:t>
      </w:r>
      <w:r>
        <w:rPr>
          <w:rFonts w:hint="eastAsia" w:ascii="微软雅黑" w:hAnsi="微软雅黑" w:eastAsia="微软雅黑" w:cs="宋体"/>
          <w:sz w:val="24"/>
        </w:rPr>
        <w:t>已提交未审核的采购发票，当发现错误时，点击该功能按钮进行采购合同的撤销操作；</w:t>
      </w:r>
    </w:p>
    <w:p>
      <w:pPr>
        <w:spacing w:line="360" w:lineRule="auto"/>
        <w:ind w:left="400"/>
        <w:rPr>
          <w:rFonts w:ascii="微软雅黑" w:hAnsi="微软雅黑" w:eastAsia="微软雅黑"/>
        </w:rPr>
      </w:pPr>
      <w:r>
        <w:rPr>
          <w:rFonts w:ascii="微软雅黑" w:hAnsi="微软雅黑" w:eastAsia="微软雅黑"/>
        </w:rPr>
        <w:drawing>
          <wp:inline distT="0" distB="0" distL="114300" distR="114300">
            <wp:extent cx="6299835" cy="1671320"/>
            <wp:effectExtent l="0" t="0" r="9525" b="508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44" cstate="print"/>
                    <a:stretch>
                      <a:fillRect/>
                    </a:stretch>
                  </pic:blipFill>
                  <pic:spPr>
                    <a:xfrm>
                      <a:off x="0" y="0"/>
                      <a:ext cx="6299835" cy="1671320"/>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（采购发票管理参考界面）</w:t>
      </w:r>
    </w:p>
    <w:p>
      <w:pPr>
        <w:spacing w:line="360" w:lineRule="auto"/>
        <w:ind w:firstLine="420"/>
        <w:jc w:val="center"/>
        <w:rPr>
          <w:rFonts w:ascii="微软雅黑" w:hAnsi="微软雅黑" w:eastAsia="微软雅黑" w:cs="宋体"/>
          <w:sz w:val="24"/>
        </w:rPr>
      </w:pPr>
      <w:r>
        <w:rPr>
          <w:rFonts w:ascii="微软雅黑" w:hAnsi="微软雅黑" w:eastAsia="微软雅黑"/>
        </w:rPr>
        <w:drawing>
          <wp:inline distT="0" distB="0" distL="114300" distR="114300">
            <wp:extent cx="6296660" cy="2937510"/>
            <wp:effectExtent l="0" t="0" r="12700" b="381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45" cstate="print"/>
                    <a:stretch>
                      <a:fillRect/>
                    </a:stretch>
                  </pic:blipFill>
                  <pic:spPr>
                    <a:xfrm>
                      <a:off x="0" y="0"/>
                      <a:ext cx="6296660" cy="2937510"/>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（采购发票明细参考界面）</w:t>
      </w:r>
    </w:p>
    <w:p>
      <w:pPr>
        <w:spacing w:line="360" w:lineRule="auto"/>
        <w:jc w:val="center"/>
        <w:rPr>
          <w:rFonts w:ascii="微软雅黑" w:hAnsi="微软雅黑" w:eastAsia="微软雅黑"/>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2.2.6.2.7采购付款管理</w:t>
      </w:r>
    </w:p>
    <w:p>
      <w:pPr>
        <w:spacing w:line="360" w:lineRule="auto"/>
        <w:rPr>
          <w:rFonts w:ascii="微软雅黑" w:hAnsi="微软雅黑" w:eastAsia="微软雅黑"/>
          <w:sz w:val="24"/>
          <w:szCs w:val="24"/>
        </w:rPr>
      </w:pPr>
      <w:r>
        <w:rPr>
          <w:rFonts w:hint="eastAsia" w:ascii="微软雅黑" w:hAnsi="微软雅黑" w:eastAsia="微软雅黑"/>
        </w:rPr>
        <w:t xml:space="preserve">     </w:t>
      </w:r>
      <w:r>
        <w:rPr>
          <w:rFonts w:hint="eastAsia" w:ascii="微软雅黑" w:hAnsi="微软雅黑" w:eastAsia="微软雅黑"/>
          <w:sz w:val="24"/>
          <w:szCs w:val="24"/>
        </w:rPr>
        <w:t>该模块主要用于对采购付款进行维护管理的操作。对采购付款信息进行规范管理，根据发票挂账，生成应付账款，由财务人员设置付款额度点击提交后生效。</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19"/>
        </w:numPr>
        <w:spacing w:line="360" w:lineRule="auto"/>
        <w:rPr>
          <w:rFonts w:ascii="微软雅黑" w:hAnsi="微软雅黑" w:eastAsia="微软雅黑"/>
        </w:rPr>
      </w:pPr>
      <w:r>
        <w:rPr>
          <w:rFonts w:hint="eastAsia" w:ascii="微软雅黑" w:hAnsi="微软雅黑" w:eastAsia="微软雅黑" w:cs="宋体"/>
          <w:b/>
          <w:bCs/>
          <w:sz w:val="24"/>
        </w:rPr>
        <w:t>新增:</w:t>
      </w:r>
      <w:r>
        <w:rPr>
          <w:rFonts w:hint="eastAsia" w:ascii="微软雅黑" w:hAnsi="微软雅黑" w:eastAsia="微软雅黑"/>
          <w:sz w:val="24"/>
          <w:szCs w:val="24"/>
        </w:rPr>
        <w:t>由财务人员输入付款额度，点击新增，生成当月付款额度</w:t>
      </w:r>
      <w:r>
        <w:rPr>
          <w:rFonts w:hint="eastAsia" w:ascii="微软雅黑" w:hAnsi="微软雅黑" w:eastAsia="微软雅黑" w:cs="宋体"/>
          <w:sz w:val="24"/>
        </w:rPr>
        <w:t>。</w:t>
      </w:r>
    </w:p>
    <w:p>
      <w:pPr>
        <w:numPr>
          <w:ilvl w:val="0"/>
          <w:numId w:val="19"/>
        </w:numPr>
        <w:spacing w:line="360" w:lineRule="auto"/>
        <w:rPr>
          <w:rFonts w:ascii="微软雅黑" w:hAnsi="微软雅黑" w:eastAsia="微软雅黑" w:cs="宋体"/>
          <w:sz w:val="24"/>
        </w:rPr>
      </w:pPr>
      <w:r>
        <w:rPr>
          <w:rFonts w:hint="eastAsia" w:ascii="微软雅黑" w:hAnsi="微软雅黑" w:eastAsia="微软雅黑" w:cs="宋体"/>
          <w:b/>
          <w:bCs/>
          <w:sz w:val="24"/>
        </w:rPr>
        <w:t>修改:</w:t>
      </w:r>
      <w:r>
        <w:rPr>
          <w:rFonts w:hint="eastAsia" w:ascii="微软雅黑" w:hAnsi="微软雅黑" w:eastAsia="微软雅黑" w:cs="宋体"/>
          <w:sz w:val="24"/>
        </w:rPr>
        <w:t>如果需要修改付款额度时，选择需要修改的付款额度，点击修改进行变更额度；</w:t>
      </w:r>
    </w:p>
    <w:p>
      <w:pPr>
        <w:numPr>
          <w:ilvl w:val="0"/>
          <w:numId w:val="19"/>
        </w:numPr>
        <w:spacing w:line="360" w:lineRule="auto"/>
        <w:rPr>
          <w:rFonts w:ascii="微软雅黑" w:hAnsi="微软雅黑" w:eastAsia="微软雅黑" w:cs="宋体"/>
          <w:sz w:val="24"/>
        </w:rPr>
      </w:pPr>
      <w:r>
        <w:rPr>
          <w:rFonts w:hint="eastAsia" w:ascii="微软雅黑" w:hAnsi="微软雅黑" w:eastAsia="微软雅黑" w:cs="宋体"/>
          <w:b/>
          <w:bCs/>
          <w:sz w:val="24"/>
        </w:rPr>
        <w:t>删除：</w:t>
      </w:r>
      <w:r>
        <w:rPr>
          <w:rFonts w:hint="eastAsia" w:ascii="微软雅黑" w:hAnsi="微软雅黑" w:eastAsia="微软雅黑" w:cs="宋体"/>
          <w:sz w:val="24"/>
        </w:rPr>
        <w:t>已新增未提交的付款额度，当发现录入有误，需要删除时，点击该功能按钮进行付款额度的删除操作；</w:t>
      </w:r>
    </w:p>
    <w:p>
      <w:pPr>
        <w:numPr>
          <w:ilvl w:val="0"/>
          <w:numId w:val="19"/>
        </w:numPr>
        <w:spacing w:line="360" w:lineRule="auto"/>
        <w:rPr>
          <w:rFonts w:ascii="微软雅黑" w:hAnsi="微软雅黑" w:eastAsia="微软雅黑" w:cs="宋体"/>
          <w:b/>
          <w:bCs/>
          <w:sz w:val="24"/>
        </w:rPr>
      </w:pPr>
      <w:r>
        <w:rPr>
          <w:rFonts w:hint="eastAsia" w:ascii="微软雅黑" w:hAnsi="微软雅黑" w:eastAsia="微软雅黑" w:cs="宋体"/>
          <w:b/>
          <w:bCs/>
          <w:sz w:val="24"/>
        </w:rPr>
        <w:t>提交：</w:t>
      </w:r>
      <w:r>
        <w:rPr>
          <w:rFonts w:hint="eastAsia" w:ascii="微软雅黑" w:hAnsi="微软雅黑" w:eastAsia="微软雅黑" w:cs="宋体"/>
          <w:sz w:val="24"/>
        </w:rPr>
        <w:t>已新增未提交的付款额度，需要生效时，点击该功能按钮进行付款额度的提交生效操作；</w:t>
      </w:r>
    </w:p>
    <w:p>
      <w:pPr>
        <w:numPr>
          <w:ilvl w:val="0"/>
          <w:numId w:val="19"/>
        </w:numPr>
        <w:spacing w:line="360" w:lineRule="auto"/>
        <w:rPr>
          <w:rFonts w:ascii="微软雅黑" w:hAnsi="微软雅黑" w:eastAsia="微软雅黑" w:cs="宋体"/>
          <w:b/>
          <w:bCs/>
          <w:sz w:val="24"/>
        </w:rPr>
      </w:pPr>
      <w:r>
        <w:rPr>
          <w:rFonts w:hint="eastAsia" w:ascii="微软雅黑" w:hAnsi="微软雅黑" w:eastAsia="微软雅黑" w:cs="宋体"/>
          <w:b/>
          <w:bCs/>
          <w:sz w:val="24"/>
        </w:rPr>
        <w:t>撤销：</w:t>
      </w:r>
      <w:r>
        <w:rPr>
          <w:rFonts w:hint="eastAsia" w:ascii="微软雅黑" w:hAnsi="微软雅黑" w:eastAsia="微软雅黑" w:cs="宋体"/>
          <w:sz w:val="24"/>
        </w:rPr>
        <w:t>已提交的付款额度，当发现录入有误，需要修改时，点击该功能按钮进行付款额度的撤销操作；</w:t>
      </w:r>
    </w:p>
    <w:p>
      <w:pPr>
        <w:spacing w:line="360" w:lineRule="auto"/>
        <w:rPr>
          <w:rFonts w:ascii="微软雅黑" w:hAnsi="微软雅黑" w:eastAsia="微软雅黑"/>
        </w:rPr>
      </w:pPr>
    </w:p>
    <w:p>
      <w:pPr>
        <w:spacing w:line="360" w:lineRule="auto"/>
        <w:rPr>
          <w:rFonts w:ascii="微软雅黑" w:hAnsi="微软雅黑" w:eastAsia="微软雅黑"/>
        </w:rPr>
      </w:pPr>
      <w:r>
        <w:rPr>
          <w:rFonts w:ascii="微软雅黑" w:hAnsi="微软雅黑" w:eastAsia="微软雅黑"/>
        </w:rPr>
        <w:drawing>
          <wp:inline distT="0" distB="0" distL="114300" distR="114300">
            <wp:extent cx="6296025" cy="1488440"/>
            <wp:effectExtent l="0" t="0" r="13335" b="5080"/>
            <wp:docPr id="1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
                    <pic:cNvPicPr>
                      <a:picLocks noChangeAspect="1"/>
                    </pic:cNvPicPr>
                  </pic:nvPicPr>
                  <pic:blipFill>
                    <a:blip r:embed="rId146" cstate="print"/>
                    <a:stretch>
                      <a:fillRect/>
                    </a:stretch>
                  </pic:blipFill>
                  <pic:spPr>
                    <a:xfrm>
                      <a:off x="0" y="0"/>
                      <a:ext cx="6296025" cy="1488440"/>
                    </a:xfrm>
                    <a:prstGeom prst="rect">
                      <a:avLst/>
                    </a:prstGeom>
                    <a:noFill/>
                    <a:ln w="9525">
                      <a:noFill/>
                    </a:ln>
                  </pic:spPr>
                </pic:pic>
              </a:graphicData>
            </a:graphic>
          </wp:inline>
        </w:drawing>
      </w:r>
    </w:p>
    <w:p>
      <w:pPr>
        <w:spacing w:line="360" w:lineRule="auto"/>
        <w:jc w:val="center"/>
        <w:rPr>
          <w:rFonts w:ascii="微软雅黑" w:hAnsi="微软雅黑" w:eastAsia="微软雅黑"/>
          <w:sz w:val="24"/>
          <w:szCs w:val="24"/>
        </w:rPr>
      </w:pPr>
      <w:r>
        <w:rPr>
          <w:rFonts w:hint="eastAsia" w:ascii="微软雅黑" w:hAnsi="微软雅黑" w:eastAsia="微软雅黑"/>
          <w:sz w:val="24"/>
          <w:szCs w:val="24"/>
        </w:rPr>
        <w:t>（付款额度管理参考界面）</w:t>
      </w:r>
    </w:p>
    <w:p>
      <w:pPr>
        <w:spacing w:line="360" w:lineRule="auto"/>
        <w:jc w:val="center"/>
        <w:rPr>
          <w:rFonts w:ascii="微软雅黑" w:hAnsi="微软雅黑" w:eastAsia="微软雅黑"/>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2.2.6.2.8付款额度分配管理</w:t>
      </w:r>
    </w:p>
    <w:p>
      <w:pPr>
        <w:spacing w:line="360" w:lineRule="auto"/>
        <w:rPr>
          <w:rFonts w:ascii="微软雅黑" w:hAnsi="微软雅黑" w:eastAsia="微软雅黑"/>
          <w:sz w:val="24"/>
          <w:szCs w:val="24"/>
        </w:rPr>
      </w:pPr>
      <w:r>
        <w:rPr>
          <w:rFonts w:hint="eastAsia" w:ascii="微软雅黑" w:hAnsi="微软雅黑" w:eastAsia="微软雅黑"/>
        </w:rPr>
        <w:t xml:space="preserve">     </w:t>
      </w:r>
      <w:r>
        <w:rPr>
          <w:rFonts w:hint="eastAsia" w:ascii="微软雅黑" w:hAnsi="微软雅黑" w:eastAsia="微软雅黑"/>
          <w:sz w:val="24"/>
          <w:szCs w:val="24"/>
        </w:rPr>
        <w:t>该模块主要用于对采购付款明细进行付款分配管理的操作。采购员根据财务提出的付款额度对供应商进行付款额度的分配，付款额度分配至各合同明细，分配完成后点击确认付款即可生成付款信息。</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20"/>
        </w:numPr>
        <w:spacing w:line="360" w:lineRule="auto"/>
        <w:rPr>
          <w:rFonts w:ascii="微软雅黑" w:hAnsi="微软雅黑" w:eastAsia="微软雅黑"/>
        </w:rPr>
      </w:pPr>
      <w:r>
        <w:rPr>
          <w:rFonts w:hint="eastAsia" w:ascii="微软雅黑" w:hAnsi="微软雅黑" w:eastAsia="微软雅黑" w:cs="宋体"/>
          <w:b/>
          <w:bCs/>
          <w:sz w:val="24"/>
        </w:rPr>
        <w:t>保存金额:</w:t>
      </w:r>
      <w:r>
        <w:rPr>
          <w:rFonts w:hint="eastAsia" w:ascii="微软雅黑" w:hAnsi="微软雅黑" w:eastAsia="微软雅黑"/>
          <w:sz w:val="24"/>
          <w:szCs w:val="24"/>
        </w:rPr>
        <w:t>由采购员分配相应付款额度，点击保存金额确认金额分配</w:t>
      </w:r>
      <w:r>
        <w:rPr>
          <w:rFonts w:hint="eastAsia" w:ascii="微软雅黑" w:hAnsi="微软雅黑" w:eastAsia="微软雅黑" w:cs="宋体"/>
          <w:sz w:val="24"/>
        </w:rPr>
        <w:t>。</w:t>
      </w:r>
    </w:p>
    <w:p>
      <w:pPr>
        <w:numPr>
          <w:ilvl w:val="0"/>
          <w:numId w:val="20"/>
        </w:numPr>
        <w:spacing w:line="360" w:lineRule="auto"/>
        <w:rPr>
          <w:rFonts w:ascii="微软雅黑" w:hAnsi="微软雅黑" w:eastAsia="微软雅黑" w:cs="宋体"/>
          <w:sz w:val="24"/>
        </w:rPr>
      </w:pPr>
      <w:r>
        <w:rPr>
          <w:rFonts w:hint="eastAsia" w:ascii="微软雅黑" w:hAnsi="微软雅黑" w:eastAsia="微软雅黑" w:cs="宋体"/>
          <w:b/>
          <w:bCs/>
          <w:sz w:val="24"/>
        </w:rPr>
        <w:t>确认付款:</w:t>
      </w:r>
      <w:r>
        <w:rPr>
          <w:rFonts w:hint="eastAsia" w:ascii="微软雅黑" w:hAnsi="微软雅黑" w:eastAsia="微软雅黑" w:cs="宋体"/>
          <w:sz w:val="24"/>
        </w:rPr>
        <w:t>付款额度确认无误后点击确认付款生成付款信息；</w:t>
      </w:r>
    </w:p>
    <w:p>
      <w:pPr>
        <w:spacing w:line="360" w:lineRule="auto"/>
        <w:rPr>
          <w:rFonts w:ascii="微软雅黑" w:hAnsi="微软雅黑" w:eastAsia="微软雅黑"/>
        </w:rPr>
      </w:pPr>
      <w:r>
        <w:rPr>
          <w:rFonts w:ascii="微软雅黑" w:hAnsi="微软雅黑" w:eastAsia="微软雅黑"/>
        </w:rPr>
        <w:drawing>
          <wp:inline distT="0" distB="0" distL="114300" distR="114300">
            <wp:extent cx="6299200" cy="4088130"/>
            <wp:effectExtent l="0" t="0" r="10160" b="11430"/>
            <wp:docPr id="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pic:cNvPicPr>
                      <a:picLocks noChangeAspect="1"/>
                    </pic:cNvPicPr>
                  </pic:nvPicPr>
                  <pic:blipFill>
                    <a:blip r:embed="rId147" cstate="print"/>
                    <a:stretch>
                      <a:fillRect/>
                    </a:stretch>
                  </pic:blipFill>
                  <pic:spPr>
                    <a:xfrm>
                      <a:off x="0" y="0"/>
                      <a:ext cx="6299200" cy="4088130"/>
                    </a:xfrm>
                    <a:prstGeom prst="rect">
                      <a:avLst/>
                    </a:prstGeom>
                    <a:noFill/>
                    <a:ln w="9525">
                      <a:noFill/>
                    </a:ln>
                  </pic:spPr>
                </pic:pic>
              </a:graphicData>
            </a:graphic>
          </wp:inline>
        </w:drawing>
      </w:r>
    </w:p>
    <w:p>
      <w:pPr>
        <w:spacing w:line="360" w:lineRule="auto"/>
        <w:jc w:val="center"/>
        <w:rPr>
          <w:rFonts w:ascii="微软雅黑" w:hAnsi="微软雅黑" w:eastAsia="微软雅黑"/>
          <w:sz w:val="24"/>
          <w:szCs w:val="24"/>
        </w:rPr>
      </w:pPr>
      <w:r>
        <w:rPr>
          <w:rFonts w:hint="eastAsia" w:ascii="微软雅黑" w:hAnsi="微软雅黑" w:eastAsia="微软雅黑"/>
          <w:sz w:val="24"/>
          <w:szCs w:val="24"/>
        </w:rPr>
        <w:t>（付款额度分配详细参考界面）</w:t>
      </w:r>
    </w:p>
    <w:p>
      <w:pPr>
        <w:spacing w:line="360" w:lineRule="auto"/>
        <w:rPr>
          <w:rFonts w:ascii="微软雅黑" w:hAnsi="微软雅黑" w:eastAsia="微软雅黑"/>
          <w:lang w:val="zh-CN"/>
        </w:rPr>
      </w:pPr>
    </w:p>
    <w:p>
      <w:pPr>
        <w:widowControl/>
        <w:jc w:val="left"/>
        <w:rPr>
          <w:rFonts w:ascii="微软雅黑" w:hAnsi="微软雅黑" w:eastAsia="微软雅黑"/>
          <w:b/>
          <w:bCs/>
          <w:sz w:val="28"/>
          <w:szCs w:val="24"/>
          <w:lang w:val="zh-CN"/>
        </w:rPr>
      </w:pPr>
      <w:r>
        <w:rPr>
          <w:rFonts w:ascii="微软雅黑" w:hAnsi="微软雅黑" w:eastAsia="微软雅黑"/>
          <w:lang w:val="zh-CN"/>
        </w:rPr>
        <w:br w:type="page"/>
      </w:r>
    </w:p>
    <w:p>
      <w:pPr>
        <w:pStyle w:val="4"/>
        <w:rPr>
          <w:rFonts w:ascii="微软雅黑" w:hAnsi="微软雅黑" w:eastAsia="微软雅黑"/>
          <w:color w:val="auto"/>
          <w:lang w:val="zh-CN"/>
        </w:rPr>
      </w:pPr>
      <w:bookmarkStart w:id="64" w:name="_Toc508831150"/>
      <w:r>
        <w:rPr>
          <w:rFonts w:hint="eastAsia" w:ascii="微软雅黑" w:hAnsi="微软雅黑" w:eastAsia="微软雅黑"/>
          <w:color w:val="auto"/>
          <w:lang w:val="zh-CN"/>
        </w:rPr>
        <w:t>2.2.7生产计划管理</w:t>
      </w:r>
      <w:bookmarkEnd w:id="64"/>
    </w:p>
    <w:p>
      <w:pPr>
        <w:pStyle w:val="5"/>
        <w:rPr>
          <w:rFonts w:ascii="微软雅黑" w:hAnsi="微软雅黑" w:eastAsia="微软雅黑"/>
        </w:rPr>
      </w:pPr>
      <w:bookmarkStart w:id="65" w:name="_Toc508831151"/>
      <w:bookmarkStart w:id="66" w:name="_Toc508053068"/>
      <w:r>
        <w:rPr>
          <w:rFonts w:hint="eastAsia" w:ascii="微软雅黑" w:hAnsi="微软雅黑" w:eastAsia="微软雅黑"/>
        </w:rPr>
        <w:t>3.2.7.1业务流程</w:t>
      </w:r>
      <w:bookmarkEnd w:id="65"/>
      <w:bookmarkEnd w:id="66"/>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1</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生产计划业务流程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rPr>
              <w:t>技术部门发布订单BOM后，依据零件来源分类及零件加工节点周期由APS系统生成物料需求计划至生产计划部门，由生产计划部门对物料需求计划确认物料需求数量及物料需求日期，并下发至采购及装配计划。主要分为：采购计划，装配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object>
                <v:shape id="_x0000_i1080" o:spt="75" type="#_x0000_t75" style="height:466.5pt;width:214.5pt;" o:ole="t" filled="f" o:preferrelative="t" stroked="f" coordsize="21600,21600">
                  <v:path/>
                  <v:fill on="f" focussize="0,0"/>
                  <v:stroke on="f" joinstyle="miter"/>
                  <v:imagedata r:id="rId149" o:title=""/>
                  <o:lock v:ext="edit" aspectratio="t"/>
                  <w10:wrap type="none"/>
                  <w10:anchorlock/>
                </v:shape>
                <o:OLEObject Type="Embed" ProgID="Visio.Drawing.11" ShapeID="_x0000_i1080" DrawAspect="Content" ObjectID="_1468075780" r:id="rId148">
                  <o:LockedField>false</o:LockedField>
                </o:OLEObject>
              </w:object>
            </w:r>
          </w:p>
        </w:tc>
      </w:tr>
    </w:tbl>
    <w:p>
      <w:pPr>
        <w:rPr>
          <w:rFonts w:ascii="微软雅黑" w:hAnsi="微软雅黑" w:eastAsia="微软雅黑"/>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spacing w:line="360" w:lineRule="auto"/>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rPr>
              <w:t>2</w:t>
            </w:r>
          </w:p>
        </w:tc>
        <w:tc>
          <w:tcPr>
            <w:tcW w:w="1575"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采购计划流程</w:t>
            </w:r>
          </w:p>
        </w:tc>
        <w:tc>
          <w:tcPr>
            <w:tcW w:w="1643"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spacing w:line="360" w:lineRule="auto"/>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接收采购任务后，经过询价、比价，签订采购合同，办理采购入库申请，由质检部进行入库质检，提交WMS办理入库或发往车间。入库后，可依据入库单进行开票，形成应付账款，及办理付款业务。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spacing w:line="360" w:lineRule="auto"/>
              <w:ind w:left="0"/>
              <w:jc w:val="center"/>
              <w:rPr>
                <w:rFonts w:ascii="微软雅黑" w:hAnsi="微软雅黑" w:eastAsia="微软雅黑" w:cs="微软雅黑"/>
              </w:rPr>
            </w:pPr>
            <w:r>
              <w:object>
                <v:shape id="_x0000_i1081" o:spt="75" type="#_x0000_t75" style="height:517.5pt;width:280.5pt;" o:ole="t" filled="f" o:preferrelative="t" stroked="f" coordsize="21600,21600">
                  <v:path/>
                  <v:fill on="f" focussize="0,0"/>
                  <v:stroke on="f" joinstyle="miter"/>
                  <v:imagedata r:id="rId151" o:title=""/>
                  <o:lock v:ext="edit" aspectratio="t"/>
                  <w10:wrap type="none"/>
                  <w10:anchorlock/>
                </v:shape>
                <o:OLEObject Type="Embed" ProgID="Visio.Drawing.11" ShapeID="_x0000_i1081" DrawAspect="Content" ObjectID="_1468075781" r:id="rId150">
                  <o:LockedField>false</o:LockedField>
                </o:OLEObject>
              </w:object>
            </w:r>
          </w:p>
        </w:tc>
      </w:tr>
    </w:tbl>
    <w:p>
      <w:pPr>
        <w:rPr>
          <w:rFonts w:ascii="微软雅黑" w:hAnsi="微软雅黑" w:eastAsia="微软雅黑"/>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spacing w:line="360" w:lineRule="auto"/>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rPr>
              <w:t>3</w:t>
            </w:r>
          </w:p>
        </w:tc>
        <w:tc>
          <w:tcPr>
            <w:tcW w:w="1575"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spacing w:line="360" w:lineRule="auto"/>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装配计划流程</w:t>
            </w:r>
          </w:p>
        </w:tc>
        <w:tc>
          <w:tcPr>
            <w:tcW w:w="1643" w:type="dxa"/>
          </w:tcPr>
          <w:p>
            <w:pPr>
              <w:pStyle w:val="17"/>
              <w:spacing w:line="360" w:lineRule="auto"/>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spacing w:line="360" w:lineRule="auto"/>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spacing w:line="360" w:lineRule="auto"/>
              <w:ind w:left="0"/>
              <w:rPr>
                <w:rFonts w:ascii="微软雅黑" w:hAnsi="微软雅黑" w:eastAsia="微软雅黑" w:cs="微软雅黑"/>
              </w:rPr>
            </w:pPr>
            <w:r>
              <w:rPr>
                <w:rFonts w:hint="eastAsia" w:ascii="微软雅黑" w:hAnsi="微软雅黑" w:eastAsia="微软雅黑" w:cs="微软雅黑"/>
              </w:rPr>
              <w:t>由生产计划部门将生产任务下发至各车间后，由车间调度进行设备或主机工分配，并指定要求加工日期，将任务下发至工人进行装配加工，加工完成后由车间向质检部申请零件工序质检。通过质量部检验合格后，系统将自动分配并记录车间加工工时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spacing w:line="360" w:lineRule="auto"/>
              <w:ind w:left="0"/>
              <w:jc w:val="center"/>
              <w:rPr>
                <w:rFonts w:ascii="微软雅黑" w:hAnsi="微软雅黑" w:eastAsia="微软雅黑" w:cs="微软雅黑"/>
              </w:rPr>
            </w:pPr>
            <w:r>
              <w:object>
                <v:shape id="_x0000_i1082" o:spt="75" type="#_x0000_t75" style="height:441.75pt;width:216.75pt;" o:ole="t" filled="f" o:preferrelative="t" stroked="f" coordsize="21600,21600">
                  <v:path/>
                  <v:fill on="f" focussize="0,0"/>
                  <v:stroke on="f" joinstyle="miter"/>
                  <v:imagedata r:id="rId153" o:title=""/>
                  <o:lock v:ext="edit" aspectratio="t"/>
                  <w10:wrap type="none"/>
                  <w10:anchorlock/>
                </v:shape>
                <o:OLEObject Type="Embed" ProgID="Visio.Drawing.11" ShapeID="_x0000_i1082" DrawAspect="Content" ObjectID="_1468075782" r:id="rId152">
                  <o:LockedField>false</o:LockedField>
                </o:OLEObject>
              </w:object>
            </w:r>
          </w:p>
        </w:tc>
      </w:tr>
    </w:tbl>
    <w:p>
      <w:pPr>
        <w:rPr>
          <w:rFonts w:ascii="微软雅黑" w:hAnsi="微软雅黑" w:eastAsia="微软雅黑"/>
        </w:rPr>
      </w:pPr>
    </w:p>
    <w:p>
      <w:pPr>
        <w:pStyle w:val="5"/>
        <w:rPr>
          <w:rFonts w:ascii="微软雅黑" w:hAnsi="微软雅黑" w:eastAsia="微软雅黑"/>
        </w:rPr>
      </w:pPr>
      <w:bookmarkStart w:id="67" w:name="_Toc508053069"/>
      <w:bookmarkStart w:id="68" w:name="_Toc508831152"/>
      <w:r>
        <w:rPr>
          <w:rFonts w:hint="eastAsia" w:ascii="微软雅黑" w:hAnsi="微软雅黑" w:eastAsia="微软雅黑"/>
        </w:rPr>
        <w:t>3.2.7.2功能模块</w:t>
      </w:r>
      <w:bookmarkEnd w:id="67"/>
      <w:bookmarkEnd w:id="68"/>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3.2.7.2.1生产主计划管理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该模块主要用来接收、管理和下发产品主计划，根据产品交货期生成节点计划倒排计划。由生产计划对订单节点（物料采购，车间装配等）相关内容进行编制，制定任务执行部门、开始时间、结束时间等信息。</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21"/>
        </w:numPr>
        <w:spacing w:line="360" w:lineRule="auto"/>
        <w:rPr>
          <w:rFonts w:ascii="微软雅黑" w:hAnsi="微软雅黑" w:eastAsia="微软雅黑" w:cs="宋体"/>
          <w:sz w:val="24"/>
        </w:rPr>
      </w:pPr>
      <w:r>
        <w:rPr>
          <w:rFonts w:hint="eastAsia" w:ascii="微软雅黑" w:hAnsi="微软雅黑" w:eastAsia="微软雅黑" w:cs="宋体"/>
          <w:b/>
          <w:bCs/>
          <w:sz w:val="24"/>
        </w:rPr>
        <w:t>新增：</w:t>
      </w:r>
      <w:r>
        <w:rPr>
          <w:rFonts w:hint="eastAsia" w:ascii="微软雅黑" w:hAnsi="微软雅黑" w:eastAsia="微软雅黑" w:cs="宋体"/>
          <w:sz w:val="24"/>
        </w:rPr>
        <w:t>生产产品主计划节点，依据交货期及加工周期，倒排主加工日期；</w:t>
      </w:r>
    </w:p>
    <w:p>
      <w:pPr>
        <w:numPr>
          <w:ilvl w:val="0"/>
          <w:numId w:val="21"/>
        </w:numPr>
        <w:spacing w:line="360" w:lineRule="auto"/>
        <w:rPr>
          <w:rFonts w:ascii="微软雅黑" w:hAnsi="微软雅黑" w:eastAsia="微软雅黑" w:cs="宋体"/>
          <w:sz w:val="24"/>
        </w:rPr>
      </w:pPr>
      <w:r>
        <w:rPr>
          <w:rFonts w:hint="eastAsia" w:ascii="微软雅黑" w:hAnsi="微软雅黑" w:eastAsia="微软雅黑" w:cs="宋体"/>
          <w:b/>
          <w:bCs/>
          <w:sz w:val="24"/>
        </w:rPr>
        <w:t>保存：</w:t>
      </w:r>
      <w:r>
        <w:rPr>
          <w:rFonts w:hint="eastAsia" w:ascii="微软雅黑" w:hAnsi="微软雅黑" w:eastAsia="微软雅黑" w:cs="宋体"/>
          <w:sz w:val="24"/>
        </w:rPr>
        <w:t>修改主计划节点加工周期、计划开始、计划结束、执行部门信息后，点击该功能按钮进行保存；</w:t>
      </w:r>
    </w:p>
    <w:p>
      <w:pPr>
        <w:numPr>
          <w:ilvl w:val="0"/>
          <w:numId w:val="21"/>
        </w:numPr>
        <w:spacing w:line="360" w:lineRule="auto"/>
        <w:rPr>
          <w:rFonts w:ascii="微软雅黑" w:hAnsi="微软雅黑" w:eastAsia="微软雅黑" w:cs="宋体"/>
          <w:sz w:val="24"/>
        </w:rPr>
      </w:pPr>
      <w:r>
        <w:rPr>
          <w:rFonts w:hint="eastAsia" w:ascii="微软雅黑" w:hAnsi="微软雅黑" w:eastAsia="微软雅黑" w:cs="宋体"/>
          <w:b/>
          <w:bCs/>
          <w:sz w:val="24"/>
        </w:rPr>
        <w:t>下发：</w:t>
      </w:r>
      <w:r>
        <w:rPr>
          <w:rFonts w:hint="eastAsia" w:ascii="微软雅黑" w:hAnsi="微软雅黑" w:eastAsia="微软雅黑" w:cs="宋体"/>
          <w:sz w:val="24"/>
        </w:rPr>
        <w:t>计划节点已编制完成需下发至相关执行部门时，点击该功能按钮进行下发操作；</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0" distR="0">
            <wp:extent cx="6300470" cy="2322830"/>
            <wp:effectExtent l="19050" t="0" r="508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54" cstate="print"/>
                    <a:srcRect/>
                    <a:stretch>
                      <a:fillRect/>
                    </a:stretch>
                  </pic:blipFill>
                  <pic:spPr>
                    <a:xfrm>
                      <a:off x="0" y="0"/>
                      <a:ext cx="6300470" cy="2323349"/>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（生产主计划管理参考界面）</w:t>
      </w:r>
    </w:p>
    <w:p>
      <w:pPr>
        <w:spacing w:line="360" w:lineRule="auto"/>
        <w:jc w:val="center"/>
        <w:rPr>
          <w:rFonts w:ascii="微软雅黑" w:hAnsi="微软雅黑" w:eastAsia="微软雅黑" w:cs="宋体"/>
          <w:sz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2.2.7.2.2生产主计划接收</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该模块主要用来接收计划部门下发的主计划。</w:t>
      </w:r>
      <w:r>
        <w:rPr>
          <w:rFonts w:hint="eastAsia" w:ascii="微软雅黑" w:hAnsi="微软雅黑" w:eastAsia="微软雅黑" w:cs="宋体"/>
          <w:sz w:val="24"/>
          <w:lang w:val="zh-CN"/>
        </w:rPr>
        <w:t>各</w:t>
      </w:r>
      <w:r>
        <w:rPr>
          <w:rFonts w:hint="eastAsia" w:ascii="微软雅黑" w:hAnsi="微软雅黑" w:eastAsia="微软雅黑" w:cs="宋体"/>
          <w:sz w:val="24"/>
        </w:rPr>
        <w:t>生产节点业务</w:t>
      </w:r>
      <w:r>
        <w:rPr>
          <w:rFonts w:hint="eastAsia" w:ascii="微软雅黑" w:hAnsi="微软雅黑" w:eastAsia="微软雅黑" w:cs="宋体"/>
          <w:sz w:val="24"/>
          <w:lang w:val="zh-CN"/>
        </w:rPr>
        <w:t>部门对主计划进行接收，</w:t>
      </w:r>
      <w:r>
        <w:rPr>
          <w:rFonts w:hint="eastAsia" w:ascii="微软雅黑" w:hAnsi="微软雅黑" w:eastAsia="微软雅黑" w:cs="宋体"/>
          <w:sz w:val="24"/>
        </w:rPr>
        <w:t>接收后进行各部门业务处理，处理完成后，及时</w:t>
      </w:r>
      <w:r>
        <w:rPr>
          <w:rFonts w:hint="eastAsia" w:ascii="微软雅黑" w:hAnsi="微软雅黑" w:eastAsia="微软雅黑" w:cs="宋体"/>
          <w:sz w:val="24"/>
          <w:lang w:val="zh-CN"/>
        </w:rPr>
        <w:t>反馈完成日期，</w:t>
      </w:r>
      <w:r>
        <w:rPr>
          <w:rFonts w:hint="eastAsia" w:ascii="微软雅黑" w:hAnsi="微软雅黑" w:eastAsia="微软雅黑" w:cs="宋体"/>
          <w:sz w:val="24"/>
        </w:rPr>
        <w:t>以便生产部门对订单加工节点进行跟踪。</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22"/>
        </w:numPr>
        <w:spacing w:line="360" w:lineRule="auto"/>
        <w:rPr>
          <w:rFonts w:ascii="微软雅黑" w:hAnsi="微软雅黑" w:eastAsia="微软雅黑" w:cs="宋体"/>
          <w:sz w:val="24"/>
        </w:rPr>
      </w:pPr>
      <w:r>
        <w:rPr>
          <w:rFonts w:hint="eastAsia" w:ascii="微软雅黑" w:hAnsi="微软雅黑" w:eastAsia="微软雅黑" w:cs="宋体"/>
          <w:b/>
          <w:bCs/>
          <w:sz w:val="24"/>
        </w:rPr>
        <w:t>接收：</w:t>
      </w:r>
      <w:r>
        <w:rPr>
          <w:rFonts w:hint="eastAsia" w:ascii="微软雅黑" w:hAnsi="微软雅黑" w:eastAsia="微软雅黑" w:cs="宋体"/>
          <w:sz w:val="24"/>
        </w:rPr>
        <w:t>确认生产计划部门下发的加工节点及加工周期无异议时，点击该功能按钮进行接收操作；</w:t>
      </w:r>
    </w:p>
    <w:p>
      <w:pPr>
        <w:numPr>
          <w:ilvl w:val="0"/>
          <w:numId w:val="22"/>
        </w:numPr>
        <w:spacing w:line="360" w:lineRule="auto"/>
        <w:rPr>
          <w:rFonts w:ascii="微软雅黑" w:hAnsi="微软雅黑" w:eastAsia="微软雅黑" w:cs="宋体"/>
          <w:sz w:val="24"/>
        </w:rPr>
      </w:pPr>
      <w:r>
        <w:rPr>
          <w:rFonts w:hint="eastAsia" w:ascii="微软雅黑" w:hAnsi="微软雅黑" w:eastAsia="微软雅黑" w:cs="宋体"/>
          <w:b/>
          <w:bCs/>
          <w:sz w:val="24"/>
        </w:rPr>
        <w:t>反馈完成日期：</w:t>
      </w:r>
      <w:r>
        <w:rPr>
          <w:rFonts w:hint="eastAsia" w:ascii="微软雅黑" w:hAnsi="微软雅黑" w:eastAsia="微软雅黑" w:cs="宋体"/>
          <w:sz w:val="24"/>
        </w:rPr>
        <w:t>当该产品的节点执行完成时，点击该功能按钮进行填写实际完成日期及反馈说明，并反馈至生产计划部门；</w:t>
      </w:r>
    </w:p>
    <w:p>
      <w:pPr>
        <w:spacing w:line="360" w:lineRule="auto"/>
        <w:jc w:val="center"/>
        <w:rPr>
          <w:rFonts w:ascii="微软雅黑" w:hAnsi="微软雅黑" w:eastAsia="微软雅黑" w:cs="宋体"/>
          <w:sz w:val="24"/>
        </w:rPr>
      </w:pPr>
      <w:r>
        <w:rPr>
          <w:rFonts w:ascii="微软雅黑" w:hAnsi="微软雅黑" w:eastAsia="微软雅黑" w:cs="宋体"/>
          <w:sz w:val="24"/>
        </w:rPr>
        <w:drawing>
          <wp:inline distT="0" distB="0" distL="0" distR="0">
            <wp:extent cx="6300470" cy="1142365"/>
            <wp:effectExtent l="19050" t="0" r="508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55" cstate="print"/>
                    <a:srcRect/>
                    <a:stretch>
                      <a:fillRect/>
                    </a:stretch>
                  </pic:blipFill>
                  <pic:spPr>
                    <a:xfrm>
                      <a:off x="0" y="0"/>
                      <a:ext cx="6300470" cy="1142600"/>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（生产主计划接收参考界面）</w:t>
      </w:r>
    </w:p>
    <w:p>
      <w:pPr>
        <w:spacing w:line="360" w:lineRule="auto"/>
        <w:jc w:val="center"/>
        <w:rPr>
          <w:rFonts w:ascii="微软雅黑" w:hAnsi="微软雅黑" w:eastAsia="微软雅黑" w:cs="宋体"/>
          <w:sz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2.2.7.2.3装配计划管理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该模块主要用来接收、管理和下发装配计划。当工艺发布后，系统自动将装配任务推送至生产计划部门，由生产计划部门确认计划装配日期后，便将装配任务及装配工艺要求信息推送至装配车间。</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23"/>
        </w:numPr>
        <w:spacing w:line="360" w:lineRule="auto"/>
        <w:rPr>
          <w:rFonts w:ascii="微软雅黑" w:hAnsi="微软雅黑" w:eastAsia="微软雅黑" w:cs="宋体"/>
          <w:sz w:val="24"/>
        </w:rPr>
      </w:pPr>
      <w:r>
        <w:rPr>
          <w:rFonts w:hint="eastAsia" w:ascii="微软雅黑" w:hAnsi="微软雅黑" w:eastAsia="微软雅黑" w:cs="宋体"/>
          <w:b/>
          <w:bCs/>
          <w:sz w:val="24"/>
        </w:rPr>
        <w:t>提取工艺：</w:t>
      </w:r>
      <w:r>
        <w:rPr>
          <w:rFonts w:hint="eastAsia" w:ascii="微软雅黑" w:hAnsi="微软雅黑" w:eastAsia="微软雅黑" w:cs="宋体"/>
          <w:sz w:val="24"/>
        </w:rPr>
        <w:t>当工艺发布后，系统自动将生产任务下发至生产计划部门，若工艺发生变更，需将装配工艺同步至装配计划时，则点击该功能按钮进行提取同步操作；</w:t>
      </w:r>
    </w:p>
    <w:p>
      <w:pPr>
        <w:numPr>
          <w:ilvl w:val="0"/>
          <w:numId w:val="23"/>
        </w:numPr>
        <w:spacing w:line="360" w:lineRule="auto"/>
        <w:rPr>
          <w:rFonts w:ascii="微软雅黑" w:hAnsi="微软雅黑" w:eastAsia="微软雅黑" w:cs="宋体"/>
          <w:sz w:val="24"/>
        </w:rPr>
      </w:pPr>
      <w:r>
        <w:rPr>
          <w:rFonts w:hint="eastAsia" w:ascii="微软雅黑" w:hAnsi="微软雅黑" w:eastAsia="微软雅黑" w:cs="宋体"/>
          <w:b/>
          <w:bCs/>
          <w:sz w:val="24"/>
        </w:rPr>
        <w:t>保存：</w:t>
      </w:r>
      <w:r>
        <w:rPr>
          <w:rFonts w:hint="eastAsia" w:ascii="微软雅黑" w:hAnsi="微软雅黑" w:eastAsia="微软雅黑" w:cs="宋体"/>
          <w:sz w:val="24"/>
        </w:rPr>
        <w:t>对要下发的装配任务计划装配周期进行编制，根据装配车间产能对装配要求日期进行调整，调整完成后，点击该功能按钮进行保存操作；</w:t>
      </w:r>
    </w:p>
    <w:p>
      <w:pPr>
        <w:numPr>
          <w:ilvl w:val="0"/>
          <w:numId w:val="23"/>
        </w:numPr>
        <w:spacing w:line="360" w:lineRule="auto"/>
        <w:rPr>
          <w:rFonts w:ascii="微软雅黑" w:hAnsi="微软雅黑" w:eastAsia="微软雅黑" w:cs="宋体"/>
          <w:sz w:val="24"/>
        </w:rPr>
      </w:pPr>
      <w:r>
        <w:rPr>
          <w:rFonts w:hint="eastAsia" w:ascii="微软雅黑" w:hAnsi="微软雅黑" w:eastAsia="微软雅黑" w:cs="宋体"/>
          <w:b/>
          <w:bCs/>
          <w:sz w:val="24"/>
        </w:rPr>
        <w:t>删除：</w:t>
      </w:r>
      <w:r>
        <w:rPr>
          <w:rFonts w:hint="eastAsia" w:ascii="微软雅黑" w:hAnsi="微软雅黑" w:eastAsia="微软雅黑" w:cs="宋体"/>
          <w:sz w:val="24"/>
        </w:rPr>
        <w:t>若某装配工序不需下发时，点击该功能按钮进行装配任务删除操作；</w:t>
      </w:r>
    </w:p>
    <w:p>
      <w:pPr>
        <w:numPr>
          <w:ilvl w:val="0"/>
          <w:numId w:val="23"/>
        </w:numPr>
        <w:spacing w:line="360" w:lineRule="auto"/>
        <w:rPr>
          <w:rFonts w:ascii="微软雅黑" w:hAnsi="微软雅黑" w:eastAsia="微软雅黑" w:cs="宋体"/>
          <w:b/>
          <w:bCs/>
          <w:sz w:val="24"/>
        </w:rPr>
      </w:pPr>
      <w:r>
        <w:rPr>
          <w:rFonts w:hint="eastAsia" w:ascii="微软雅黑" w:hAnsi="微软雅黑" w:eastAsia="微软雅黑" w:cs="宋体"/>
          <w:b/>
          <w:bCs/>
          <w:sz w:val="24"/>
        </w:rPr>
        <w:t>更换加工组：</w:t>
      </w:r>
      <w:r>
        <w:rPr>
          <w:rFonts w:hint="eastAsia" w:ascii="微软雅黑" w:hAnsi="微软雅黑" w:eastAsia="微软雅黑" w:cs="宋体"/>
          <w:sz w:val="24"/>
        </w:rPr>
        <w:t>工艺部门指定默认理论装配组，计划部门根据装配车间实际情况进行调整，可调整至其它装配组进行装配，则点击该功能按钮进行更换装配组操作；</w:t>
      </w:r>
    </w:p>
    <w:p>
      <w:pPr>
        <w:numPr>
          <w:ilvl w:val="0"/>
          <w:numId w:val="23"/>
        </w:numPr>
        <w:spacing w:line="360" w:lineRule="auto"/>
        <w:rPr>
          <w:rFonts w:ascii="微软雅黑" w:hAnsi="微软雅黑" w:eastAsia="微软雅黑" w:cs="宋体"/>
          <w:sz w:val="24"/>
        </w:rPr>
      </w:pPr>
      <w:r>
        <w:rPr>
          <w:rFonts w:hint="eastAsia" w:ascii="微软雅黑" w:hAnsi="微软雅黑" w:eastAsia="微软雅黑" w:cs="宋体"/>
          <w:b/>
          <w:bCs/>
          <w:sz w:val="24"/>
        </w:rPr>
        <w:t>提交：</w:t>
      </w:r>
      <w:r>
        <w:rPr>
          <w:rFonts w:hint="eastAsia" w:ascii="微软雅黑" w:hAnsi="微软雅黑" w:eastAsia="微软雅黑" w:cs="宋体"/>
          <w:sz w:val="24"/>
        </w:rPr>
        <w:t>已编制完成的装配计划，当需要下发至装配车间装配时，点击该功能按钮进行下发操作；</w:t>
      </w:r>
    </w:p>
    <w:p>
      <w:pPr>
        <w:numPr>
          <w:ilvl w:val="0"/>
          <w:numId w:val="23"/>
        </w:numPr>
        <w:spacing w:line="360" w:lineRule="auto"/>
        <w:rPr>
          <w:rFonts w:ascii="微软雅黑" w:hAnsi="微软雅黑" w:eastAsia="微软雅黑" w:cs="宋体"/>
          <w:sz w:val="24"/>
        </w:rPr>
      </w:pPr>
      <w:r>
        <w:rPr>
          <w:rFonts w:hint="eastAsia" w:ascii="微软雅黑" w:hAnsi="微软雅黑" w:eastAsia="微软雅黑" w:cs="宋体"/>
          <w:b/>
          <w:bCs/>
          <w:sz w:val="24"/>
        </w:rPr>
        <w:t>撤销：</w:t>
      </w:r>
      <w:r>
        <w:rPr>
          <w:rFonts w:hint="eastAsia" w:ascii="微软雅黑" w:hAnsi="微软雅黑" w:eastAsia="微软雅黑" w:cs="宋体"/>
          <w:sz w:val="24"/>
        </w:rPr>
        <w:t>对于已下发的装配计划，需调整时，点击该功能按钮进行装配计划撤销操作；</w:t>
      </w:r>
      <w:r>
        <w:rPr>
          <w:rFonts w:hint="eastAsia" w:ascii="微软雅黑" w:hAnsi="微软雅黑" w:eastAsia="微软雅黑" w:cs="宋体"/>
          <w:sz w:val="24"/>
        </w:rPr>
        <w:drawing>
          <wp:inline distT="0" distB="0" distL="0" distR="0">
            <wp:extent cx="6292215" cy="3933825"/>
            <wp:effectExtent l="1905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156" cstate="print"/>
                    <a:srcRect/>
                    <a:stretch>
                      <a:fillRect/>
                    </a:stretch>
                  </pic:blipFill>
                  <pic:spPr>
                    <a:xfrm>
                      <a:off x="0" y="0"/>
                      <a:ext cx="6300470" cy="3938727"/>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（装配计划管理参考界面）</w:t>
      </w:r>
    </w:p>
    <w:p>
      <w:pPr>
        <w:widowControl/>
        <w:jc w:val="left"/>
        <w:rPr>
          <w:rFonts w:ascii="微软雅黑" w:hAnsi="微软雅黑" w:eastAsia="微软雅黑"/>
        </w:rPr>
      </w:pPr>
      <w:r>
        <w:rPr>
          <w:rFonts w:ascii="微软雅黑" w:hAnsi="微软雅黑" w:eastAsia="微软雅黑"/>
        </w:rPr>
        <w:drawing>
          <wp:inline distT="0" distB="0" distL="0" distR="0">
            <wp:extent cx="6300470" cy="2263140"/>
            <wp:effectExtent l="19050" t="0" r="508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57" cstate="print"/>
                    <a:srcRect/>
                    <a:stretch>
                      <a:fillRect/>
                    </a:stretch>
                  </pic:blipFill>
                  <pic:spPr>
                    <a:xfrm>
                      <a:off x="0" y="0"/>
                      <a:ext cx="6300470" cy="2263420"/>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（装配计划编制参考界面）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2.2.7.2.4生产月度计划管理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该模块主要用来调整当月需投产的主计划。当每月主计划下发完成后，可生成目标月份的全部主计划，可根据负荷情况对目标月的计划进行微调，可直接查询至月度的计划执行情况等。</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24"/>
        </w:numPr>
        <w:spacing w:line="360" w:lineRule="auto"/>
        <w:rPr>
          <w:rFonts w:ascii="微软雅黑" w:hAnsi="微软雅黑" w:eastAsia="微软雅黑" w:cs="宋体"/>
          <w:sz w:val="24"/>
        </w:rPr>
      </w:pPr>
      <w:r>
        <w:rPr>
          <w:rFonts w:hint="eastAsia" w:ascii="微软雅黑" w:hAnsi="微软雅黑" w:eastAsia="微软雅黑" w:cs="宋体"/>
          <w:b/>
          <w:bCs/>
          <w:sz w:val="24"/>
        </w:rPr>
        <w:t>查询：</w:t>
      </w:r>
      <w:r>
        <w:rPr>
          <w:rFonts w:hint="eastAsia" w:ascii="微软雅黑" w:hAnsi="微软雅黑" w:eastAsia="微软雅黑" w:cs="宋体"/>
          <w:sz w:val="24"/>
        </w:rPr>
        <w:t>可查询特定工作令号后，进行相关修改工作；</w:t>
      </w:r>
    </w:p>
    <w:p>
      <w:pPr>
        <w:numPr>
          <w:ilvl w:val="0"/>
          <w:numId w:val="24"/>
        </w:numPr>
        <w:spacing w:line="360" w:lineRule="auto"/>
        <w:rPr>
          <w:rFonts w:ascii="微软雅黑" w:hAnsi="微软雅黑" w:eastAsia="微软雅黑" w:cs="宋体"/>
          <w:sz w:val="24"/>
        </w:rPr>
      </w:pPr>
      <w:r>
        <w:rPr>
          <w:rFonts w:hint="eastAsia" w:ascii="微软雅黑" w:hAnsi="微软雅黑" w:eastAsia="微软雅黑" w:cs="宋体"/>
          <w:b/>
          <w:sz w:val="24"/>
        </w:rPr>
        <w:t>调整：</w:t>
      </w:r>
      <w:r>
        <w:rPr>
          <w:rFonts w:hint="eastAsia" w:ascii="微软雅黑" w:hAnsi="微软雅黑" w:eastAsia="微软雅黑" w:cs="宋体"/>
          <w:sz w:val="24"/>
        </w:rPr>
        <w:t>可对当前工作令号的主计划时间节点进行调整完成时间，系统自动计划此工作令号后的时间或根据主计划周期时间自动调整；</w:t>
      </w:r>
    </w:p>
    <w:p>
      <w:pPr>
        <w:numPr>
          <w:ilvl w:val="0"/>
          <w:numId w:val="24"/>
        </w:numPr>
        <w:spacing w:line="360" w:lineRule="auto"/>
        <w:rPr>
          <w:rFonts w:ascii="微软雅黑" w:hAnsi="微软雅黑" w:eastAsia="微软雅黑" w:cs="宋体"/>
          <w:sz w:val="24"/>
        </w:rPr>
      </w:pPr>
      <w:r>
        <w:rPr>
          <w:rFonts w:hint="eastAsia" w:ascii="微软雅黑" w:hAnsi="微软雅黑" w:eastAsia="微软雅黑" w:cs="宋体"/>
          <w:b/>
          <w:bCs/>
          <w:sz w:val="24"/>
        </w:rPr>
        <w:t>保存：</w:t>
      </w:r>
      <w:r>
        <w:rPr>
          <w:rFonts w:hint="eastAsia" w:ascii="微软雅黑" w:hAnsi="微软雅黑" w:eastAsia="微软雅黑" w:cs="宋体"/>
          <w:sz w:val="24"/>
        </w:rPr>
        <w:t>对调整完成后，点击该功能按钮进行保存操作；</w:t>
      </w:r>
    </w:p>
    <w:p>
      <w:pPr>
        <w:numPr>
          <w:ilvl w:val="0"/>
          <w:numId w:val="24"/>
        </w:numPr>
        <w:spacing w:line="360" w:lineRule="auto"/>
        <w:rPr>
          <w:rFonts w:ascii="微软雅黑" w:hAnsi="微软雅黑" w:eastAsia="微软雅黑" w:cs="宋体"/>
          <w:sz w:val="24"/>
        </w:rPr>
      </w:pPr>
      <w:r>
        <w:rPr>
          <w:rFonts w:hint="eastAsia" w:ascii="微软雅黑" w:hAnsi="微软雅黑" w:eastAsia="微软雅黑" w:cs="宋体"/>
          <w:b/>
          <w:bCs/>
          <w:sz w:val="24"/>
        </w:rPr>
        <w:t>删除：</w:t>
      </w:r>
      <w:r>
        <w:rPr>
          <w:rFonts w:hint="eastAsia" w:ascii="微软雅黑" w:hAnsi="微软雅黑" w:eastAsia="微软雅黑" w:cs="宋体"/>
          <w:sz w:val="24"/>
        </w:rPr>
        <w:t>若某已经调整完成的计划不需下发时，点击该功能按钮进行删除操作；</w:t>
      </w:r>
    </w:p>
    <w:p>
      <w:pPr>
        <w:numPr>
          <w:ilvl w:val="0"/>
          <w:numId w:val="24"/>
        </w:numPr>
        <w:spacing w:line="360" w:lineRule="auto"/>
        <w:rPr>
          <w:rFonts w:ascii="微软雅黑" w:hAnsi="微软雅黑" w:eastAsia="微软雅黑" w:cs="宋体"/>
          <w:sz w:val="24"/>
        </w:rPr>
      </w:pPr>
      <w:r>
        <w:rPr>
          <w:rFonts w:hint="eastAsia" w:ascii="微软雅黑" w:hAnsi="微软雅黑" w:eastAsia="微软雅黑" w:cs="宋体"/>
          <w:b/>
          <w:bCs/>
          <w:sz w:val="24"/>
        </w:rPr>
        <w:t>提交：</w:t>
      </w:r>
      <w:r>
        <w:rPr>
          <w:rFonts w:hint="eastAsia" w:ascii="微软雅黑" w:hAnsi="微软雅黑" w:eastAsia="微软雅黑" w:cs="宋体"/>
          <w:sz w:val="24"/>
        </w:rPr>
        <w:t>已编制完成的一个计划，当需要下发时，点击该功能按钮进行下发操作；</w:t>
      </w:r>
    </w:p>
    <w:p>
      <w:pPr>
        <w:numPr>
          <w:ilvl w:val="0"/>
          <w:numId w:val="24"/>
        </w:numPr>
        <w:spacing w:line="360" w:lineRule="auto"/>
        <w:rPr>
          <w:rFonts w:ascii="微软雅黑" w:hAnsi="微软雅黑" w:eastAsia="微软雅黑" w:cs="宋体"/>
          <w:sz w:val="24"/>
        </w:rPr>
      </w:pPr>
      <w:r>
        <w:rPr>
          <w:rFonts w:hint="eastAsia" w:ascii="微软雅黑" w:hAnsi="微软雅黑" w:eastAsia="微软雅黑" w:cs="宋体"/>
          <w:b/>
          <w:bCs/>
          <w:sz w:val="24"/>
        </w:rPr>
        <w:t>撤销：</w:t>
      </w:r>
      <w:r>
        <w:rPr>
          <w:rFonts w:hint="eastAsia" w:ascii="微软雅黑" w:hAnsi="微软雅黑" w:eastAsia="微软雅黑" w:cs="宋体"/>
          <w:sz w:val="24"/>
        </w:rPr>
        <w:t>对于已下发的计划，需调整时，点击该功能按钮进行计划撤销操作；</w:t>
      </w:r>
    </w:p>
    <w:p>
      <w:pPr>
        <w:spacing w:line="360" w:lineRule="auto"/>
        <w:rPr>
          <w:rFonts w:ascii="微软雅黑" w:hAnsi="微软雅黑" w:eastAsia="微软雅黑" w:cs="宋体"/>
          <w:b/>
          <w:bCs/>
          <w:sz w:val="24"/>
        </w:rPr>
      </w:pPr>
      <w:r>
        <w:rPr>
          <w:rFonts w:hint="eastAsia" w:ascii="微软雅黑" w:hAnsi="微软雅黑" w:eastAsia="微软雅黑" w:cs="宋体"/>
          <w:b/>
          <w:bCs/>
          <w:sz w:val="24"/>
        </w:rPr>
        <w:drawing>
          <wp:inline distT="0" distB="0" distL="0" distR="0">
            <wp:extent cx="6300470" cy="1392555"/>
            <wp:effectExtent l="19050" t="0" r="508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58" cstate="print"/>
                    <a:srcRect/>
                    <a:stretch>
                      <a:fillRect/>
                    </a:stretch>
                  </pic:blipFill>
                  <pic:spPr>
                    <a:xfrm>
                      <a:off x="0" y="0"/>
                      <a:ext cx="6300470" cy="1393033"/>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（生产月度计划管理参考界面）</w:t>
      </w:r>
    </w:p>
    <w:p>
      <w:pPr>
        <w:widowControl/>
        <w:autoSpaceDE w:val="0"/>
        <w:autoSpaceDN w:val="0"/>
        <w:adjustRightInd w:val="0"/>
        <w:spacing w:beforeLines="50" w:afterLines="50" w:line="360" w:lineRule="auto"/>
        <w:jc w:val="center"/>
        <w:textAlignment w:val="baseline"/>
        <w:rPr>
          <w:rFonts w:ascii="微软雅黑" w:hAnsi="微软雅黑" w:eastAsia="微软雅黑" w:cs="宋体"/>
          <w:sz w:val="24"/>
        </w:rPr>
      </w:pPr>
      <w:r>
        <w:rPr>
          <w:rFonts w:hint="eastAsia"/>
        </w:rPr>
        <w:drawing>
          <wp:inline distT="0" distB="0" distL="0" distR="0">
            <wp:extent cx="6170295" cy="3733800"/>
            <wp:effectExtent l="19050" t="0" r="127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59" cstate="print"/>
                    <a:srcRect/>
                    <a:stretch>
                      <a:fillRect/>
                    </a:stretch>
                  </pic:blipFill>
                  <pic:spPr>
                    <a:xfrm>
                      <a:off x="0" y="0"/>
                      <a:ext cx="6170925" cy="3733800"/>
                    </a:xfrm>
                    <a:prstGeom prst="rect">
                      <a:avLst/>
                    </a:prstGeom>
                    <a:noFill/>
                    <a:ln w="9525">
                      <a:noFill/>
                      <a:miter lim="800000"/>
                      <a:headEnd/>
                      <a:tailEnd/>
                    </a:ln>
                  </pic:spPr>
                </pic:pic>
              </a:graphicData>
            </a:graphic>
          </wp:inline>
        </w:drawing>
      </w:r>
    </w:p>
    <w:p>
      <w:pPr>
        <w:widowControl/>
        <w:autoSpaceDE w:val="0"/>
        <w:autoSpaceDN w:val="0"/>
        <w:adjustRightInd w:val="0"/>
        <w:spacing w:beforeLines="50" w:afterLines="50" w:line="360" w:lineRule="auto"/>
        <w:jc w:val="center"/>
        <w:textAlignment w:val="baseline"/>
        <w:rPr>
          <w:rFonts w:ascii="微软雅黑" w:hAnsi="微软雅黑" w:eastAsia="微软雅黑" w:cs="宋体"/>
          <w:sz w:val="24"/>
        </w:rPr>
      </w:pPr>
      <w:r>
        <w:rPr>
          <w:rFonts w:hint="eastAsia" w:ascii="微软雅黑" w:hAnsi="微软雅黑" w:eastAsia="微软雅黑" w:cs="宋体"/>
          <w:sz w:val="24"/>
        </w:rPr>
        <w:t>（生产月度计划管理参考界面）</w:t>
      </w:r>
    </w:p>
    <w:p>
      <w:pPr>
        <w:widowControl/>
        <w:autoSpaceDE w:val="0"/>
        <w:autoSpaceDN w:val="0"/>
        <w:adjustRightInd w:val="0"/>
        <w:spacing w:beforeLines="50" w:afterLines="50" w:line="360" w:lineRule="auto"/>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r>
        <w:rPr>
          <w:rFonts w:hint="eastAsia" w:ascii="微软雅黑" w:hAnsi="微软雅黑" w:eastAsia="微软雅黑" w:cs="微软雅黑"/>
          <w:sz w:val="24"/>
          <w:szCs w:val="24"/>
        </w:rPr>
        <w:t>。</w:t>
      </w:r>
    </w:p>
    <w:p>
      <w:pPr>
        <w:widowControl/>
        <w:jc w:val="left"/>
        <w:rPr>
          <w:rFonts w:ascii="微软雅黑" w:hAnsi="微软雅黑" w:eastAsia="微软雅黑"/>
          <w:b/>
          <w:bCs/>
          <w:sz w:val="28"/>
          <w:szCs w:val="24"/>
          <w:lang w:val="zh-CN"/>
        </w:rPr>
      </w:pPr>
      <w:r>
        <w:rPr>
          <w:rFonts w:ascii="微软雅黑" w:hAnsi="微软雅黑" w:eastAsia="微软雅黑"/>
          <w:lang w:val="zh-CN"/>
        </w:rPr>
        <w:br w:type="page"/>
      </w:r>
    </w:p>
    <w:p>
      <w:pPr>
        <w:pStyle w:val="4"/>
        <w:rPr>
          <w:rFonts w:ascii="微软雅黑" w:hAnsi="微软雅黑" w:eastAsia="微软雅黑"/>
          <w:color w:val="auto"/>
          <w:lang w:val="zh-CN"/>
        </w:rPr>
      </w:pPr>
      <w:bookmarkStart w:id="69" w:name="_Toc508831153"/>
      <w:r>
        <w:rPr>
          <w:rFonts w:hint="eastAsia" w:ascii="微软雅黑" w:hAnsi="微软雅黑" w:eastAsia="微软雅黑"/>
          <w:color w:val="auto"/>
          <w:lang w:val="zh-CN"/>
        </w:rPr>
        <w:t>2.2.8生产制造管理</w:t>
      </w:r>
      <w:bookmarkEnd w:id="69"/>
    </w:p>
    <w:p>
      <w:pPr>
        <w:pStyle w:val="5"/>
        <w:rPr>
          <w:rFonts w:ascii="微软雅黑" w:hAnsi="微软雅黑" w:eastAsia="微软雅黑"/>
        </w:rPr>
      </w:pPr>
      <w:bookmarkStart w:id="70" w:name="_Toc508831154"/>
      <w:r>
        <w:rPr>
          <w:rFonts w:hint="eastAsia" w:ascii="微软雅黑" w:hAnsi="微软雅黑" w:eastAsia="微软雅黑"/>
        </w:rPr>
        <w:t>2.2.8.1业务流程</w:t>
      </w:r>
      <w:bookmarkEnd w:id="70"/>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8.1</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生产制造业务流程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rPr>
              <w:t>由生产计划部门将生产任务下发至各车间后，由车间调度进行设备及主机工分配，并指定要求加工日期，将任务下发至工人进行装配加工，加工完成后由车间向质检部申请零件工序质检。通过质量部检验合格后，系统将自动分配并记录车间加工工时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hint="eastAsia" w:ascii="微软雅黑" w:hAnsi="微软雅黑" w:eastAsia="微软雅黑" w:cs="微软雅黑"/>
              </w:rPr>
              <w:object>
                <v:shape id="_x0000_i1083" o:spt="75" type="#_x0000_t75" style="height:375pt;width:273.75pt;" o:ole="t" filled="f" o:preferrelative="t" stroked="f" coordsize="21600,21600">
                  <v:path/>
                  <v:fill on="f" focussize="0,0"/>
                  <v:stroke on="f" joinstyle="miter"/>
                  <v:imagedata r:id="rId161" o:title=""/>
                  <o:lock v:ext="edit" aspectratio="f"/>
                  <w10:wrap type="none"/>
                  <w10:anchorlock/>
                </v:shape>
                <o:OLEObject Type="Embed" ProgID="Visio.Drawing.11" ShapeID="_x0000_i1083" DrawAspect="Content" ObjectID="_1468075783" r:id="rId160">
                  <o:LockedField>false</o:LockedField>
                </o:OLEObject>
              </w:object>
            </w:r>
          </w:p>
        </w:tc>
      </w:tr>
    </w:tbl>
    <w:p>
      <w:pPr>
        <w:rPr>
          <w:rFonts w:ascii="微软雅黑" w:hAnsi="微软雅黑" w:eastAsia="微软雅黑"/>
        </w:rPr>
      </w:pPr>
    </w:p>
    <w:p>
      <w:pPr>
        <w:pStyle w:val="5"/>
        <w:rPr>
          <w:rFonts w:ascii="微软雅黑" w:hAnsi="微软雅黑" w:eastAsia="微软雅黑"/>
        </w:rPr>
      </w:pPr>
      <w:bookmarkStart w:id="71" w:name="_Toc508831155"/>
      <w:r>
        <w:rPr>
          <w:rFonts w:hint="eastAsia" w:ascii="微软雅黑" w:hAnsi="微软雅黑" w:eastAsia="微软雅黑"/>
        </w:rPr>
        <w:t>2.2.8.2功能模块</w:t>
      </w:r>
      <w:bookmarkEnd w:id="71"/>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2.2.8.2.1车间任务分配管理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该模块主要用于在APS进行任务分配至人或工位时，由于实际需要进行调整，可手工进行分配至车间任务至各工作岛或</w:t>
      </w:r>
      <w:r>
        <w:rPr>
          <w:rFonts w:hint="eastAsia" w:ascii="微软雅黑" w:hAnsi="微软雅黑" w:eastAsia="微软雅黑" w:cs="宋体"/>
          <w:sz w:val="24"/>
          <w:lang w:val="zh-CN"/>
        </w:rPr>
        <w:t>技工</w:t>
      </w:r>
      <w:r>
        <w:rPr>
          <w:rFonts w:hint="eastAsia" w:ascii="微软雅黑" w:hAnsi="微软雅黑" w:eastAsia="微软雅黑" w:cs="宋体"/>
          <w:sz w:val="24"/>
        </w:rPr>
        <w:t>。</w:t>
      </w:r>
      <w:r>
        <w:rPr>
          <w:rFonts w:hint="eastAsia" w:ascii="微软雅黑" w:hAnsi="微软雅黑" w:eastAsia="微软雅黑" w:cs="宋体"/>
          <w:sz w:val="24"/>
          <w:lang w:val="zh-CN"/>
        </w:rPr>
        <w:t>由车间主任进行任务的分配，将相应任务分配至各技工，系统可以自动计算设备负荷和技工工时等信息</w:t>
      </w:r>
      <w:r>
        <w:rPr>
          <w:rFonts w:hint="eastAsia" w:ascii="微软雅黑" w:hAnsi="微软雅黑" w:eastAsia="微软雅黑" w:cs="宋体"/>
          <w:sz w:val="24"/>
        </w:rPr>
        <w:t>。</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25"/>
        </w:numPr>
        <w:spacing w:line="360" w:lineRule="auto"/>
        <w:rPr>
          <w:rFonts w:ascii="微软雅黑" w:hAnsi="微软雅黑" w:eastAsia="微软雅黑" w:cs="宋体"/>
          <w:sz w:val="24"/>
        </w:rPr>
      </w:pPr>
      <w:r>
        <w:rPr>
          <w:rFonts w:hint="eastAsia" w:ascii="微软雅黑" w:hAnsi="微软雅黑" w:eastAsia="微软雅黑" w:cs="宋体"/>
          <w:b/>
          <w:bCs/>
          <w:sz w:val="24"/>
        </w:rPr>
        <w:t>分配：</w:t>
      </w:r>
      <w:r>
        <w:rPr>
          <w:rFonts w:hint="eastAsia" w:ascii="微软雅黑" w:hAnsi="微软雅黑" w:eastAsia="微软雅黑" w:cs="宋体"/>
          <w:sz w:val="24"/>
        </w:rPr>
        <w:t>本车间任务需分配工作岛或</w:t>
      </w:r>
      <w:r>
        <w:rPr>
          <w:rFonts w:hint="eastAsia" w:ascii="微软雅黑" w:hAnsi="微软雅黑" w:eastAsia="微软雅黑" w:cs="宋体"/>
          <w:sz w:val="24"/>
          <w:lang w:val="zh-CN"/>
        </w:rPr>
        <w:t>技工</w:t>
      </w:r>
      <w:r>
        <w:rPr>
          <w:rFonts w:hint="eastAsia" w:ascii="微软雅黑" w:hAnsi="微软雅黑" w:eastAsia="微软雅黑" w:cs="宋体"/>
          <w:sz w:val="24"/>
        </w:rPr>
        <w:t>，并指定要求开始日期时，点击该功能按钮进行分配操作；</w:t>
      </w:r>
    </w:p>
    <w:p>
      <w:pPr>
        <w:numPr>
          <w:ilvl w:val="0"/>
          <w:numId w:val="25"/>
        </w:numPr>
        <w:spacing w:line="360" w:lineRule="auto"/>
        <w:rPr>
          <w:rFonts w:ascii="微软雅黑" w:hAnsi="微软雅黑" w:eastAsia="微软雅黑" w:cs="宋体"/>
          <w:sz w:val="24"/>
        </w:rPr>
      </w:pPr>
      <w:r>
        <w:rPr>
          <w:rFonts w:hint="eastAsia" w:ascii="微软雅黑" w:hAnsi="微软雅黑" w:eastAsia="微软雅黑" w:cs="宋体"/>
          <w:b/>
          <w:bCs/>
          <w:sz w:val="24"/>
        </w:rPr>
        <w:t>申请领料：</w:t>
      </w:r>
      <w:r>
        <w:rPr>
          <w:rFonts w:hint="eastAsia" w:ascii="微软雅黑" w:hAnsi="微软雅黑" w:eastAsia="微软雅黑" w:cs="宋体"/>
          <w:sz w:val="24"/>
        </w:rPr>
        <w:t>该工件装配任务下发至</w:t>
      </w:r>
      <w:r>
        <w:rPr>
          <w:rFonts w:hint="eastAsia" w:ascii="微软雅黑" w:hAnsi="微软雅黑" w:eastAsia="微软雅黑" w:cs="宋体"/>
          <w:sz w:val="24"/>
          <w:lang w:val="zh-CN"/>
        </w:rPr>
        <w:t>技工</w:t>
      </w:r>
      <w:r>
        <w:rPr>
          <w:rFonts w:hint="eastAsia" w:ascii="微软雅黑" w:hAnsi="微软雅黑" w:eastAsia="微软雅黑" w:cs="宋体"/>
          <w:sz w:val="24"/>
        </w:rPr>
        <w:t>时，需将该工件实物由仓库进行申请领料至本车间，点击该功能按钮进行申请领料操作；</w:t>
      </w:r>
    </w:p>
    <w:p>
      <w:pPr>
        <w:numPr>
          <w:ilvl w:val="0"/>
          <w:numId w:val="25"/>
        </w:numPr>
        <w:spacing w:line="360" w:lineRule="auto"/>
        <w:rPr>
          <w:rFonts w:ascii="微软雅黑" w:hAnsi="微软雅黑" w:eastAsia="微软雅黑" w:cs="宋体"/>
          <w:sz w:val="24"/>
        </w:rPr>
      </w:pPr>
      <w:r>
        <w:rPr>
          <w:rFonts w:hint="eastAsia" w:ascii="微软雅黑" w:hAnsi="微软雅黑" w:eastAsia="微软雅黑" w:cs="宋体"/>
          <w:b/>
          <w:bCs/>
          <w:sz w:val="24"/>
        </w:rPr>
        <w:t>下发：</w:t>
      </w:r>
      <w:r>
        <w:rPr>
          <w:rFonts w:hint="eastAsia" w:ascii="微软雅黑" w:hAnsi="微软雅黑" w:eastAsia="微软雅黑" w:cs="宋体"/>
          <w:sz w:val="24"/>
        </w:rPr>
        <w:t>已编制完成的装配任务，当需要下发至</w:t>
      </w:r>
      <w:r>
        <w:rPr>
          <w:rFonts w:hint="eastAsia" w:ascii="微软雅黑" w:hAnsi="微软雅黑" w:eastAsia="微软雅黑" w:cs="宋体"/>
          <w:sz w:val="24"/>
          <w:lang w:val="zh-CN"/>
        </w:rPr>
        <w:t>技工</w:t>
      </w:r>
      <w:r>
        <w:rPr>
          <w:rFonts w:hint="eastAsia" w:ascii="微软雅黑" w:hAnsi="微软雅黑" w:eastAsia="微软雅黑" w:cs="宋体"/>
          <w:sz w:val="24"/>
        </w:rPr>
        <w:t>时，点击该功能按钮进行下发操作；</w:t>
      </w:r>
    </w:p>
    <w:p>
      <w:pPr>
        <w:numPr>
          <w:ilvl w:val="0"/>
          <w:numId w:val="25"/>
        </w:numPr>
        <w:spacing w:line="360" w:lineRule="auto"/>
        <w:rPr>
          <w:rFonts w:ascii="微软雅黑" w:hAnsi="微软雅黑" w:eastAsia="微软雅黑" w:cs="宋体"/>
          <w:sz w:val="24"/>
        </w:rPr>
      </w:pPr>
      <w:r>
        <w:rPr>
          <w:rFonts w:hint="eastAsia" w:ascii="微软雅黑" w:hAnsi="微软雅黑" w:eastAsia="微软雅黑" w:cs="宋体"/>
          <w:b/>
          <w:bCs/>
          <w:sz w:val="24"/>
        </w:rPr>
        <w:t>取消下发：</w:t>
      </w:r>
      <w:r>
        <w:rPr>
          <w:rFonts w:hint="eastAsia" w:ascii="微软雅黑" w:hAnsi="微软雅黑" w:eastAsia="微软雅黑" w:cs="宋体"/>
          <w:sz w:val="24"/>
        </w:rPr>
        <w:t>已下发的装配任务，当发现有误，需要调整时，点击该功能按钮进行任务的撤销操作；</w:t>
      </w:r>
    </w:p>
    <w:p>
      <w:pPr>
        <w:spacing w:line="360" w:lineRule="auto"/>
        <w:jc w:val="center"/>
        <w:rPr>
          <w:rFonts w:ascii="微软雅黑" w:hAnsi="微软雅黑" w:eastAsia="微软雅黑" w:cs="宋体"/>
          <w:sz w:val="24"/>
        </w:rPr>
      </w:pPr>
      <w:r>
        <w:rPr>
          <w:rFonts w:ascii="微软雅黑" w:hAnsi="微软雅黑" w:eastAsia="微软雅黑" w:cs="宋体"/>
          <w:sz w:val="24"/>
        </w:rPr>
        <w:drawing>
          <wp:inline distT="0" distB="0" distL="0" distR="0">
            <wp:extent cx="6300470" cy="1476375"/>
            <wp:effectExtent l="19050" t="0" r="508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62" cstate="print"/>
                    <a:srcRect/>
                    <a:stretch>
                      <a:fillRect/>
                    </a:stretch>
                  </pic:blipFill>
                  <pic:spPr>
                    <a:xfrm>
                      <a:off x="0" y="0"/>
                      <a:ext cx="6300470" cy="1476375"/>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（装配任务管理参考界面）</w:t>
      </w:r>
    </w:p>
    <w:p>
      <w:pPr>
        <w:spacing w:line="360" w:lineRule="auto"/>
        <w:jc w:val="center"/>
        <w:rPr>
          <w:rFonts w:hint="eastAsia" w:ascii="微软雅黑" w:hAnsi="微软雅黑" w:eastAsia="微软雅黑" w:cs="宋体"/>
        </w:rPr>
      </w:pPr>
      <w:r>
        <w:rPr>
          <w:rFonts w:hint="eastAsia" w:ascii="微软雅黑" w:hAnsi="微软雅黑" w:eastAsia="微软雅黑" w:cs="宋体"/>
        </w:rPr>
        <w:drawing>
          <wp:inline distT="0" distB="0" distL="0" distR="0">
            <wp:extent cx="6300470" cy="3968115"/>
            <wp:effectExtent l="19050" t="0" r="5080" b="0"/>
            <wp:docPr id="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5"/>
                    <pic:cNvPicPr>
                      <a:picLocks noChangeAspect="1" noChangeArrowheads="1"/>
                    </pic:cNvPicPr>
                  </pic:nvPicPr>
                  <pic:blipFill>
                    <a:blip r:embed="rId163" cstate="print"/>
                    <a:srcRect/>
                    <a:stretch>
                      <a:fillRect/>
                    </a:stretch>
                  </pic:blipFill>
                  <pic:spPr>
                    <a:xfrm>
                      <a:off x="0" y="0"/>
                      <a:ext cx="6300470" cy="3968205"/>
                    </a:xfrm>
                    <a:prstGeom prst="rect">
                      <a:avLst/>
                    </a:prstGeom>
                    <a:noFill/>
                    <a:ln w="9525">
                      <a:noFill/>
                      <a:miter lim="800000"/>
                      <a:headEnd/>
                      <a:tailEnd/>
                    </a:ln>
                  </pic:spPr>
                </pic:pic>
              </a:graphicData>
            </a:graphic>
          </wp:inline>
        </w:drawing>
      </w:r>
    </w:p>
    <w:p>
      <w:pPr>
        <w:spacing w:line="360" w:lineRule="auto"/>
        <w:jc w:val="center"/>
        <w:rPr>
          <w:rFonts w:hint="eastAsia" w:ascii="微软雅黑" w:hAnsi="微软雅黑" w:eastAsia="微软雅黑" w:cs="宋体"/>
        </w:rPr>
      </w:pPr>
      <w:r>
        <w:rPr>
          <w:rFonts w:hint="eastAsia" w:ascii="微软雅黑" w:hAnsi="微软雅黑" w:eastAsia="微软雅黑" w:cs="宋体"/>
          <w:sz w:val="24"/>
        </w:rPr>
        <w:t>（装配任务分配参考界面</w:t>
      </w:r>
      <w:r>
        <w:rPr>
          <w:rFonts w:hint="eastAsia" w:ascii="微软雅黑" w:hAnsi="微软雅黑" w:eastAsia="微软雅黑" w:cs="宋体"/>
          <w:color w:val="FF0000"/>
          <w:sz w:val="24"/>
        </w:rPr>
        <w:t>1-可按按工单汇总查看装配进度2-可按单个工单查看装配进度</w:t>
      </w:r>
      <w:r>
        <w:rPr>
          <w:rFonts w:hint="eastAsia" w:ascii="微软雅黑" w:hAnsi="微软雅黑" w:eastAsia="微软雅黑" w:cs="宋体"/>
          <w:sz w:val="24"/>
        </w:rPr>
        <w:t>）</w:t>
      </w:r>
    </w:p>
    <w:p>
      <w:pPr>
        <w:spacing w:line="360" w:lineRule="auto"/>
        <w:jc w:val="center"/>
        <w:rPr>
          <w:rFonts w:ascii="微软雅黑" w:hAnsi="微软雅黑" w:eastAsia="微软雅黑" w:cs="宋体"/>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2.2.8.2.2装配任务执行管理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该模块主要用来执行车间加工任务。</w:t>
      </w:r>
      <w:r>
        <w:rPr>
          <w:rFonts w:hint="eastAsia" w:ascii="微软雅黑" w:hAnsi="微软雅黑" w:eastAsia="微软雅黑" w:cs="宋体"/>
          <w:sz w:val="24"/>
          <w:lang w:val="zh-CN"/>
        </w:rPr>
        <w:t>由技工进行车间任务的开工、停工，完工，质检后系统可自动将任务流转至下序进行加工</w:t>
      </w:r>
      <w:r>
        <w:rPr>
          <w:rFonts w:hint="eastAsia" w:ascii="微软雅黑" w:hAnsi="微软雅黑" w:eastAsia="微软雅黑" w:cs="宋体"/>
          <w:sz w:val="24"/>
        </w:rPr>
        <w:t>。</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26"/>
        </w:numPr>
        <w:spacing w:line="360" w:lineRule="auto"/>
        <w:rPr>
          <w:rFonts w:ascii="微软雅黑" w:hAnsi="微软雅黑" w:eastAsia="微软雅黑" w:cs="宋体"/>
          <w:sz w:val="24"/>
        </w:rPr>
      </w:pPr>
      <w:r>
        <w:rPr>
          <w:rFonts w:hint="eastAsia" w:ascii="微软雅黑" w:hAnsi="微软雅黑" w:eastAsia="微软雅黑" w:cs="宋体"/>
          <w:b/>
          <w:bCs/>
          <w:sz w:val="24"/>
        </w:rPr>
        <w:t>开工：</w:t>
      </w:r>
      <w:r>
        <w:rPr>
          <w:rFonts w:hint="eastAsia" w:ascii="微软雅黑" w:hAnsi="微软雅黑" w:eastAsia="微软雅黑" w:cs="宋体"/>
          <w:sz w:val="24"/>
        </w:rPr>
        <w:t>车间加工工人需对该工件进行加工时，点击该功能按钮进行开工操作；</w:t>
      </w:r>
    </w:p>
    <w:p>
      <w:pPr>
        <w:numPr>
          <w:ilvl w:val="0"/>
          <w:numId w:val="26"/>
        </w:numPr>
        <w:spacing w:line="360" w:lineRule="auto"/>
        <w:rPr>
          <w:rFonts w:ascii="微软雅黑" w:hAnsi="微软雅黑" w:eastAsia="微软雅黑" w:cs="宋体"/>
          <w:sz w:val="24"/>
        </w:rPr>
      </w:pPr>
      <w:r>
        <w:rPr>
          <w:rFonts w:hint="eastAsia" w:ascii="微软雅黑" w:hAnsi="微软雅黑" w:eastAsia="微软雅黑" w:cs="宋体"/>
          <w:b/>
          <w:bCs/>
          <w:sz w:val="24"/>
        </w:rPr>
        <w:t>停工：</w:t>
      </w:r>
      <w:r>
        <w:rPr>
          <w:rFonts w:hint="eastAsia" w:ascii="微软雅黑" w:hAnsi="微软雅黑" w:eastAsia="微软雅黑" w:cs="宋体"/>
          <w:sz w:val="24"/>
        </w:rPr>
        <w:t>对于已开工，如遇换班、设备维修、加工其它紧急任务等需临时停工时，点击该功能按钮进行停工操作；</w:t>
      </w:r>
    </w:p>
    <w:p>
      <w:pPr>
        <w:numPr>
          <w:ilvl w:val="0"/>
          <w:numId w:val="26"/>
        </w:numPr>
        <w:spacing w:line="360" w:lineRule="auto"/>
        <w:rPr>
          <w:rFonts w:ascii="微软雅黑" w:hAnsi="微软雅黑" w:eastAsia="微软雅黑" w:cs="宋体"/>
          <w:sz w:val="24"/>
        </w:rPr>
      </w:pPr>
      <w:r>
        <w:rPr>
          <w:rFonts w:hint="eastAsia" w:ascii="微软雅黑" w:hAnsi="微软雅黑" w:eastAsia="微软雅黑" w:cs="宋体"/>
          <w:b/>
          <w:bCs/>
          <w:sz w:val="24"/>
        </w:rPr>
        <w:t>申请质检：</w:t>
      </w:r>
      <w:r>
        <w:rPr>
          <w:rFonts w:hint="eastAsia" w:ascii="微软雅黑" w:hAnsi="微软雅黑" w:eastAsia="微软雅黑" w:cs="宋体"/>
          <w:sz w:val="24"/>
        </w:rPr>
        <w:t>当工件加工完成时，需交由质量部进行质量检验时，点击该功能按钮进行申请质检操作；</w:t>
      </w:r>
    </w:p>
    <w:p>
      <w:pPr>
        <w:numPr>
          <w:ilvl w:val="0"/>
          <w:numId w:val="26"/>
        </w:numPr>
        <w:spacing w:line="360" w:lineRule="auto"/>
        <w:rPr>
          <w:rFonts w:ascii="微软雅黑" w:hAnsi="微软雅黑" w:eastAsia="微软雅黑" w:cs="宋体"/>
          <w:b/>
          <w:bCs/>
          <w:sz w:val="24"/>
        </w:rPr>
      </w:pPr>
      <w:r>
        <w:rPr>
          <w:rFonts w:hint="eastAsia" w:ascii="微软雅黑" w:hAnsi="微软雅黑" w:eastAsia="微软雅黑" w:cs="宋体"/>
          <w:b/>
          <w:bCs/>
          <w:sz w:val="24"/>
        </w:rPr>
        <w:t>取消质检：</w:t>
      </w:r>
      <w:r>
        <w:rPr>
          <w:rFonts w:hint="eastAsia" w:ascii="微软雅黑" w:hAnsi="微软雅黑" w:eastAsia="微软雅黑" w:cs="宋体"/>
          <w:sz w:val="24"/>
        </w:rPr>
        <w:t>当该已申请质检时，但尚未质检完成，需再次加工时，点击该功能按钮进行取消质检操作；</w:t>
      </w:r>
    </w:p>
    <w:p>
      <w:pPr>
        <w:spacing w:line="360" w:lineRule="auto"/>
        <w:jc w:val="center"/>
        <w:rPr>
          <w:rFonts w:ascii="微软雅黑" w:hAnsi="微软雅黑" w:eastAsia="微软雅黑" w:cs="宋体"/>
          <w:sz w:val="24"/>
        </w:rPr>
      </w:pPr>
      <w:r>
        <w:rPr>
          <w:rFonts w:ascii="微软雅黑" w:hAnsi="微软雅黑" w:eastAsia="微软雅黑" w:cs="宋体"/>
          <w:sz w:val="24"/>
        </w:rPr>
        <w:drawing>
          <wp:inline distT="0" distB="0" distL="0" distR="0">
            <wp:extent cx="6300470" cy="1160145"/>
            <wp:effectExtent l="19050" t="0" r="508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64" cstate="print"/>
                    <a:srcRect/>
                    <a:stretch>
                      <a:fillRect/>
                    </a:stretch>
                  </pic:blipFill>
                  <pic:spPr>
                    <a:xfrm>
                      <a:off x="0" y="0"/>
                      <a:ext cx="6300470" cy="1160328"/>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（装配任务执行管理参考界面）</w:t>
      </w:r>
    </w:p>
    <w:p>
      <w:pPr>
        <w:spacing w:line="360" w:lineRule="auto"/>
        <w:jc w:val="center"/>
        <w:rPr>
          <w:rFonts w:ascii="微软雅黑" w:hAnsi="微软雅黑" w:eastAsia="微软雅黑" w:cs="宋体"/>
          <w:sz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2.2.8.2.3车间工件调拨管理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该模块主要用于车间工件实物的流转，将</w:t>
      </w:r>
      <w:r>
        <w:rPr>
          <w:rFonts w:hint="eastAsia" w:ascii="微软雅黑" w:hAnsi="微软雅黑" w:eastAsia="微软雅黑" w:cs="宋体"/>
          <w:sz w:val="24"/>
          <w:lang w:val="zh-CN"/>
        </w:rPr>
        <w:t>工件调拨</w:t>
      </w:r>
      <w:r>
        <w:rPr>
          <w:rFonts w:hint="eastAsia" w:ascii="微软雅黑" w:hAnsi="微软雅黑" w:eastAsia="微软雅黑" w:cs="宋体"/>
          <w:sz w:val="24"/>
        </w:rPr>
        <w:t>至其它车间进行后续车间进行装配。</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27"/>
        </w:numPr>
        <w:spacing w:line="360" w:lineRule="auto"/>
        <w:rPr>
          <w:rFonts w:ascii="微软雅黑" w:hAnsi="微软雅黑" w:eastAsia="微软雅黑" w:cs="宋体"/>
          <w:sz w:val="24"/>
        </w:rPr>
      </w:pPr>
      <w:r>
        <w:rPr>
          <w:rFonts w:hint="eastAsia" w:ascii="微软雅黑" w:hAnsi="微软雅黑" w:eastAsia="微软雅黑" w:cs="宋体"/>
          <w:b/>
          <w:bCs/>
          <w:sz w:val="24"/>
        </w:rPr>
        <w:t>工件调拨：</w:t>
      </w:r>
      <w:r>
        <w:rPr>
          <w:rFonts w:hint="eastAsia" w:ascii="微软雅黑" w:hAnsi="微软雅黑" w:eastAsia="微软雅黑" w:cs="宋体"/>
          <w:sz w:val="24"/>
        </w:rPr>
        <w:t>当本车间工件加工完成后，需调拨至其它车间进行装配时，则选择需调拨的工件，目标部门，点击该功能按钮进行工件调拨操作；</w:t>
      </w:r>
    </w:p>
    <w:p>
      <w:pPr>
        <w:numPr>
          <w:ilvl w:val="0"/>
          <w:numId w:val="27"/>
        </w:numPr>
        <w:spacing w:line="360" w:lineRule="auto"/>
        <w:rPr>
          <w:rFonts w:ascii="微软雅黑" w:hAnsi="微软雅黑" w:eastAsia="微软雅黑" w:cs="宋体"/>
          <w:sz w:val="24"/>
        </w:rPr>
      </w:pPr>
      <w:r>
        <w:rPr>
          <w:rFonts w:hint="eastAsia" w:ascii="微软雅黑" w:hAnsi="微软雅黑" w:eastAsia="微软雅黑" w:cs="宋体"/>
          <w:b/>
          <w:bCs/>
          <w:sz w:val="24"/>
        </w:rPr>
        <w:t>取消调拨：</w:t>
      </w:r>
      <w:r>
        <w:rPr>
          <w:rFonts w:hint="eastAsia" w:ascii="微软雅黑" w:hAnsi="微软雅黑" w:eastAsia="微软雅黑" w:cs="宋体"/>
          <w:sz w:val="24"/>
        </w:rPr>
        <w:t>当工件已调拨至其它车间，但目标车间尚未接收入库时，可点击该功能按钮进行取消调拨操作；</w:t>
      </w:r>
    </w:p>
    <w:p>
      <w:pPr>
        <w:spacing w:line="360" w:lineRule="auto"/>
        <w:jc w:val="center"/>
        <w:rPr>
          <w:rFonts w:ascii="微软雅黑" w:hAnsi="微软雅黑" w:eastAsia="微软雅黑" w:cs="宋体"/>
          <w:sz w:val="24"/>
        </w:rPr>
      </w:pPr>
      <w:r>
        <w:rPr>
          <w:rFonts w:ascii="微软雅黑" w:hAnsi="微软雅黑" w:eastAsia="微软雅黑" w:cs="宋体"/>
          <w:sz w:val="24"/>
        </w:rPr>
        <w:drawing>
          <wp:inline distT="0" distB="0" distL="0" distR="0">
            <wp:extent cx="6300470" cy="960755"/>
            <wp:effectExtent l="19050" t="0" r="508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65" cstate="print"/>
                    <a:srcRect/>
                    <a:stretch>
                      <a:fillRect/>
                    </a:stretch>
                  </pic:blipFill>
                  <pic:spPr>
                    <a:xfrm>
                      <a:off x="0" y="0"/>
                      <a:ext cx="6300470" cy="960997"/>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（工件调拨管理参考界面）</w:t>
      </w:r>
    </w:p>
    <w:p>
      <w:pPr>
        <w:spacing w:line="360" w:lineRule="auto"/>
        <w:jc w:val="center"/>
        <w:rPr>
          <w:rFonts w:ascii="微软雅黑" w:hAnsi="微软雅黑" w:eastAsia="微软雅黑" w:cs="宋体"/>
        </w:rPr>
      </w:pPr>
      <w:r>
        <w:rPr>
          <w:rFonts w:ascii="微软雅黑" w:hAnsi="微软雅黑" w:eastAsia="微软雅黑" w:cs="宋体"/>
        </w:rPr>
        <w:drawing>
          <wp:inline distT="0" distB="0" distL="0" distR="0">
            <wp:extent cx="6300470" cy="975360"/>
            <wp:effectExtent l="19050" t="0" r="5080" b="0"/>
            <wp:docPr id="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8"/>
                    <pic:cNvPicPr>
                      <a:picLocks noChangeAspect="1" noChangeArrowheads="1"/>
                    </pic:cNvPicPr>
                  </pic:nvPicPr>
                  <pic:blipFill>
                    <a:blip r:embed="rId166" cstate="print"/>
                    <a:srcRect/>
                    <a:stretch>
                      <a:fillRect/>
                    </a:stretch>
                  </pic:blipFill>
                  <pic:spPr>
                    <a:xfrm>
                      <a:off x="0" y="0"/>
                      <a:ext cx="6300470" cy="975976"/>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rPr>
      </w:pPr>
      <w:r>
        <w:rPr>
          <w:rFonts w:hint="eastAsia" w:ascii="微软雅黑" w:hAnsi="微软雅黑" w:eastAsia="微软雅黑" w:cs="宋体"/>
          <w:sz w:val="24"/>
        </w:rPr>
        <w:t>（工件确认调拨参考界面）</w:t>
      </w: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2.2.8.2.4车间工件接收管理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该模块主要用于车间接收由其它车间或仓库调拨至本车间的工件信息，将工件接收至本车间后，本车间可进行工序任务。</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28"/>
        </w:numPr>
        <w:spacing w:line="360" w:lineRule="auto"/>
        <w:rPr>
          <w:rFonts w:ascii="微软雅黑" w:hAnsi="微软雅黑" w:eastAsia="微软雅黑" w:cs="宋体"/>
          <w:sz w:val="24"/>
        </w:rPr>
      </w:pPr>
      <w:r>
        <w:rPr>
          <w:rFonts w:hint="eastAsia" w:ascii="微软雅黑" w:hAnsi="微软雅黑" w:eastAsia="微软雅黑" w:cs="宋体"/>
          <w:b/>
          <w:bCs/>
          <w:sz w:val="24"/>
        </w:rPr>
        <w:t>接收入库：</w:t>
      </w:r>
      <w:r>
        <w:rPr>
          <w:rFonts w:hint="eastAsia" w:ascii="微软雅黑" w:hAnsi="微软雅黑" w:eastAsia="微软雅黑" w:cs="宋体"/>
          <w:sz w:val="24"/>
        </w:rPr>
        <w:t>当其它车间调拨工件至本车间时，确认实物与系统账务一致时，点击该功能按钮进行接收入库操作；</w:t>
      </w:r>
    </w:p>
    <w:p>
      <w:pPr>
        <w:numPr>
          <w:ilvl w:val="0"/>
          <w:numId w:val="28"/>
        </w:numPr>
        <w:spacing w:line="360" w:lineRule="auto"/>
        <w:rPr>
          <w:rFonts w:ascii="微软雅黑" w:hAnsi="微软雅黑" w:eastAsia="微软雅黑" w:cs="宋体"/>
          <w:sz w:val="24"/>
        </w:rPr>
      </w:pPr>
      <w:r>
        <w:rPr>
          <w:rFonts w:hint="eastAsia" w:ascii="微软雅黑" w:hAnsi="微软雅黑" w:eastAsia="微软雅黑" w:cs="宋体"/>
          <w:b/>
          <w:bCs/>
          <w:sz w:val="24"/>
        </w:rPr>
        <w:t>取消接收：</w:t>
      </w:r>
      <w:r>
        <w:rPr>
          <w:rFonts w:hint="eastAsia" w:ascii="微软雅黑" w:hAnsi="微软雅黑" w:eastAsia="微软雅黑" w:cs="宋体"/>
          <w:sz w:val="24"/>
        </w:rPr>
        <w:t>当工件已接收入库后，需取消接收时，点击该功能按钮进行取消接收操作；</w:t>
      </w:r>
    </w:p>
    <w:p>
      <w:pPr>
        <w:spacing w:line="360" w:lineRule="auto"/>
        <w:jc w:val="center"/>
        <w:rPr>
          <w:rFonts w:ascii="微软雅黑" w:hAnsi="微软雅黑" w:eastAsia="微软雅黑" w:cs="宋体"/>
          <w:sz w:val="24"/>
        </w:rPr>
      </w:pPr>
      <w:r>
        <w:rPr>
          <w:rFonts w:ascii="微软雅黑" w:hAnsi="微软雅黑" w:eastAsia="微软雅黑" w:cs="宋体"/>
          <w:sz w:val="24"/>
        </w:rPr>
        <w:drawing>
          <wp:inline distT="0" distB="0" distL="0" distR="0">
            <wp:extent cx="6300470" cy="975360"/>
            <wp:effectExtent l="19050" t="0" r="5080" b="0"/>
            <wp:docPr id="1"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8"/>
                    <pic:cNvPicPr>
                      <a:picLocks noChangeAspect="1" noChangeArrowheads="1"/>
                    </pic:cNvPicPr>
                  </pic:nvPicPr>
                  <pic:blipFill>
                    <a:blip r:embed="rId166" cstate="print"/>
                    <a:srcRect/>
                    <a:stretch>
                      <a:fillRect/>
                    </a:stretch>
                  </pic:blipFill>
                  <pic:spPr>
                    <a:xfrm>
                      <a:off x="0" y="0"/>
                      <a:ext cx="6300470" cy="975976"/>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（工件接收参考界面）</w:t>
      </w:r>
    </w:p>
    <w:p>
      <w:pPr>
        <w:spacing w:line="360" w:lineRule="auto"/>
        <w:jc w:val="center"/>
        <w:rPr>
          <w:rFonts w:ascii="微软雅黑" w:hAnsi="微软雅黑" w:eastAsia="微软雅黑" w:cs="宋体"/>
          <w:sz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2.2.8.2.5车间工时统计管理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该模块主要用来统计车间工人加工工时</w:t>
      </w:r>
      <w:r>
        <w:rPr>
          <w:rFonts w:hint="eastAsia" w:ascii="微软雅黑" w:hAnsi="微软雅黑" w:eastAsia="微软雅黑" w:cs="宋体"/>
          <w:sz w:val="24"/>
          <w:lang w:val="zh-CN"/>
        </w:rPr>
        <w:t>。系统可根据任务自动计算技工加工工时信息，达到管理工人工时的目的，减少核算人员工作量，</w:t>
      </w:r>
      <w:r>
        <w:rPr>
          <w:rFonts w:hint="eastAsia" w:ascii="微软雅黑" w:hAnsi="微软雅黑" w:eastAsia="微软雅黑" w:cs="宋体"/>
          <w:color w:val="FF0000"/>
          <w:sz w:val="24"/>
        </w:rPr>
        <w:t>可以手工增减工时，系统自动记录所有增减动作。</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29"/>
        </w:numPr>
        <w:spacing w:line="360" w:lineRule="auto"/>
        <w:rPr>
          <w:rFonts w:ascii="微软雅黑" w:hAnsi="微软雅黑" w:eastAsia="微软雅黑" w:cs="宋体"/>
          <w:sz w:val="24"/>
        </w:rPr>
      </w:pPr>
      <w:r>
        <w:rPr>
          <w:rFonts w:hint="eastAsia" w:ascii="微软雅黑" w:hAnsi="微软雅黑" w:eastAsia="微软雅黑" w:cs="宋体"/>
          <w:b/>
          <w:bCs/>
          <w:sz w:val="24"/>
        </w:rPr>
        <w:t>工时调整：</w:t>
      </w:r>
      <w:r>
        <w:rPr>
          <w:rFonts w:hint="eastAsia" w:ascii="微软雅黑" w:hAnsi="微软雅黑" w:eastAsia="微软雅黑" w:cs="宋体"/>
          <w:sz w:val="24"/>
        </w:rPr>
        <w:t>对本车间某月份工时系统将进行统计并分配，车间工时分配员可对已分配工时进行再次调整，调整完成后，点击该功能按钮进行工时调整操作；</w:t>
      </w:r>
    </w:p>
    <w:p>
      <w:pPr>
        <w:numPr>
          <w:ilvl w:val="0"/>
          <w:numId w:val="29"/>
        </w:numPr>
        <w:spacing w:line="360" w:lineRule="auto"/>
        <w:rPr>
          <w:rFonts w:ascii="微软雅黑" w:hAnsi="微软雅黑" w:eastAsia="微软雅黑" w:cs="宋体"/>
          <w:sz w:val="24"/>
        </w:rPr>
      </w:pPr>
      <w:r>
        <w:rPr>
          <w:rFonts w:hint="eastAsia" w:ascii="微软雅黑" w:hAnsi="微软雅黑" w:eastAsia="微软雅黑" w:cs="宋体"/>
          <w:b/>
          <w:bCs/>
          <w:sz w:val="24"/>
        </w:rPr>
        <w:t>提交：</w:t>
      </w:r>
      <w:r>
        <w:rPr>
          <w:rFonts w:hint="eastAsia" w:ascii="微软雅黑" w:hAnsi="微软雅黑" w:eastAsia="微软雅黑" w:cs="宋体"/>
          <w:sz w:val="24"/>
        </w:rPr>
        <w:t>已统计完成的工时，点击该功能按钮进行提交操作，有部门领导进行审核；</w:t>
      </w:r>
    </w:p>
    <w:p>
      <w:pPr>
        <w:numPr>
          <w:ilvl w:val="0"/>
          <w:numId w:val="29"/>
        </w:numPr>
        <w:spacing w:line="360" w:lineRule="auto"/>
        <w:rPr>
          <w:rFonts w:ascii="微软雅黑" w:hAnsi="微软雅黑" w:eastAsia="微软雅黑" w:cs="宋体"/>
          <w:b/>
          <w:bCs/>
          <w:sz w:val="24"/>
        </w:rPr>
      </w:pPr>
      <w:r>
        <w:rPr>
          <w:rFonts w:hint="eastAsia" w:ascii="微软雅黑" w:hAnsi="微软雅黑" w:eastAsia="微软雅黑" w:cs="宋体"/>
          <w:b/>
          <w:bCs/>
          <w:sz w:val="24"/>
        </w:rPr>
        <w:t>撤销：</w:t>
      </w:r>
      <w:r>
        <w:rPr>
          <w:rFonts w:hint="eastAsia" w:ascii="微软雅黑" w:hAnsi="微软雅黑" w:eastAsia="微软雅黑" w:cs="宋体"/>
          <w:sz w:val="24"/>
        </w:rPr>
        <w:t>当工时统计提交后，需再次调整时，点击该功能按钮进行撤销操作；</w:t>
      </w:r>
    </w:p>
    <w:p>
      <w:pPr>
        <w:spacing w:line="360" w:lineRule="auto"/>
        <w:jc w:val="center"/>
        <w:rPr>
          <w:rFonts w:ascii="微软雅黑" w:hAnsi="微软雅黑" w:eastAsia="微软雅黑" w:cs="宋体"/>
          <w:sz w:val="24"/>
        </w:rPr>
      </w:pPr>
      <w:r>
        <w:rPr>
          <w:rFonts w:ascii="微软雅黑" w:hAnsi="微软雅黑" w:eastAsia="微软雅黑" w:cs="宋体"/>
          <w:sz w:val="24"/>
        </w:rPr>
        <w:drawing>
          <wp:inline distT="0" distB="0" distL="0" distR="0">
            <wp:extent cx="6300470" cy="1170940"/>
            <wp:effectExtent l="19050" t="0" r="508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167" cstate="print"/>
                    <a:srcRect/>
                    <a:stretch>
                      <a:fillRect/>
                    </a:stretch>
                  </pic:blipFill>
                  <pic:spPr>
                    <a:xfrm>
                      <a:off x="0" y="0"/>
                      <a:ext cx="6300470" cy="1171172"/>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（工时统计管理参考界面）</w:t>
      </w:r>
    </w:p>
    <w:p>
      <w:pPr>
        <w:spacing w:line="360" w:lineRule="auto"/>
        <w:jc w:val="center"/>
        <w:rPr>
          <w:rFonts w:ascii="微软雅黑" w:hAnsi="微软雅黑" w:eastAsia="微软雅黑" w:cs="宋体"/>
          <w:sz w:val="24"/>
        </w:rPr>
      </w:pPr>
      <w:r>
        <w:rPr>
          <w:rFonts w:ascii="微软雅黑" w:hAnsi="微软雅黑" w:eastAsia="微软雅黑" w:cs="宋体"/>
          <w:sz w:val="24"/>
        </w:rPr>
        <w:drawing>
          <wp:inline distT="0" distB="0" distL="0" distR="0">
            <wp:extent cx="6300470" cy="1576705"/>
            <wp:effectExtent l="19050" t="0" r="508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168" cstate="print"/>
                    <a:srcRect/>
                    <a:stretch>
                      <a:fillRect/>
                    </a:stretch>
                  </pic:blipFill>
                  <pic:spPr>
                    <a:xfrm>
                      <a:off x="0" y="0"/>
                      <a:ext cx="6300470" cy="1577215"/>
                    </a:xfrm>
                    <a:prstGeom prst="rect">
                      <a:avLst/>
                    </a:prstGeom>
                    <a:noFill/>
                    <a:ln w="9525">
                      <a:noFill/>
                      <a:miter lim="800000"/>
                      <a:headEnd/>
                      <a:tailEnd/>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（工时分配管理参考界面）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jc w:val="left"/>
        <w:rPr>
          <w:rFonts w:ascii="微软雅黑" w:hAnsi="微软雅黑" w:eastAsia="微软雅黑"/>
          <w:b/>
          <w:bCs/>
          <w:sz w:val="28"/>
          <w:szCs w:val="24"/>
          <w:lang w:val="zh-CN"/>
        </w:rPr>
      </w:pPr>
      <w:r>
        <w:rPr>
          <w:rFonts w:ascii="微软雅黑" w:hAnsi="微软雅黑" w:eastAsia="微软雅黑"/>
          <w:lang w:val="zh-CN"/>
        </w:rPr>
        <w:br w:type="page"/>
      </w:r>
    </w:p>
    <w:p>
      <w:pPr>
        <w:pStyle w:val="4"/>
        <w:rPr>
          <w:rFonts w:ascii="微软雅黑" w:hAnsi="微软雅黑" w:eastAsia="微软雅黑"/>
          <w:color w:val="auto"/>
          <w:lang w:val="zh-CN"/>
        </w:rPr>
      </w:pPr>
      <w:bookmarkStart w:id="72" w:name="_Toc508831156"/>
      <w:r>
        <w:rPr>
          <w:rFonts w:hint="eastAsia" w:ascii="微软雅黑" w:hAnsi="微软雅黑" w:eastAsia="微软雅黑"/>
          <w:color w:val="auto"/>
          <w:lang w:val="zh-CN"/>
        </w:rPr>
        <w:t>2.2.9质量管理</w:t>
      </w:r>
      <w:bookmarkEnd w:id="72"/>
    </w:p>
    <w:p>
      <w:pPr>
        <w:pStyle w:val="5"/>
        <w:rPr>
          <w:rFonts w:ascii="微软雅黑" w:hAnsi="微软雅黑" w:eastAsia="微软雅黑"/>
        </w:rPr>
      </w:pPr>
      <w:bookmarkStart w:id="73" w:name="_Toc508831157"/>
      <w:bookmarkStart w:id="74" w:name="_Toc19388"/>
      <w:r>
        <w:rPr>
          <w:rFonts w:hint="eastAsia" w:ascii="微软雅黑" w:hAnsi="微软雅黑" w:eastAsia="微软雅黑"/>
        </w:rPr>
        <w:t>2.2.9.1业务流程</w:t>
      </w:r>
      <w:bookmarkEnd w:id="73"/>
      <w:bookmarkEnd w:id="74"/>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sz w:val="21"/>
                <w:szCs w:val="21"/>
              </w:rPr>
              <w:t>1</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质量检验流程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rPr>
              <w:t>质检来源主要分为采购入库质检，车间工序质检，成品入库质检，由质量部进行质量检验及判定，质检判定不合格时，需将质检判定结果交由技术部门进行评审确认，主要质检判定结果分为返修，回用，让步接收，报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hint="eastAsia" w:ascii="微软雅黑" w:hAnsi="微软雅黑" w:eastAsia="微软雅黑" w:cs="微软雅黑"/>
              </w:rPr>
              <w:object>
                <v:shape id="_x0000_i1084" o:spt="75" type="#_x0000_t75" style="height:448.5pt;width:256.5pt;" o:ole="t" filled="f" o:preferrelative="t" stroked="f" coordsize="21600,21600">
                  <v:path/>
                  <v:fill on="f" focussize="0,0"/>
                  <v:stroke on="f" joinstyle="miter"/>
                  <v:imagedata r:id="rId170" o:title=""/>
                  <o:lock v:ext="edit" aspectratio="f"/>
                  <w10:wrap type="none"/>
                  <w10:anchorlock/>
                </v:shape>
                <o:OLEObject Type="Embed" ProgID="Visio.Drawing.11" ShapeID="_x0000_i1084" DrawAspect="Content" ObjectID="_1468075784" r:id="rId169">
                  <o:LockedField>false</o:LockedField>
                </o:OLEObject>
              </w:object>
            </w:r>
          </w:p>
        </w:tc>
      </w:tr>
    </w:tbl>
    <w:p/>
    <w:p>
      <w:pPr>
        <w:pStyle w:val="5"/>
        <w:rPr>
          <w:rFonts w:ascii="微软雅黑" w:hAnsi="微软雅黑" w:eastAsia="微软雅黑"/>
        </w:rPr>
      </w:pPr>
      <w:bookmarkStart w:id="75" w:name="_Toc508831158"/>
      <w:bookmarkStart w:id="76" w:name="_Toc2176"/>
      <w:r>
        <w:rPr>
          <w:rFonts w:hint="eastAsia" w:ascii="微软雅黑" w:hAnsi="微软雅黑" w:eastAsia="微软雅黑"/>
        </w:rPr>
        <w:t>2.2.9.2功能模块</w:t>
      </w:r>
      <w:bookmarkEnd w:id="75"/>
      <w:bookmarkEnd w:id="76"/>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77" w:name="_Toc23353"/>
      <w:r>
        <w:rPr>
          <w:rFonts w:hint="eastAsia" w:ascii="微软雅黑" w:hAnsi="微软雅黑" w:eastAsia="微软雅黑"/>
        </w:rPr>
        <w:t>2.2.9.2.1车间任务质检</w:t>
      </w:r>
      <w:bookmarkEnd w:id="77"/>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该模块主要用于技工在完成任务后，申请任务质检，质检人员质检通过后方可进行下序。保证产品质量，及时纠正生产中产生的错误，减少质量损失。</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13"/>
        </w:numPr>
        <w:spacing w:line="360" w:lineRule="auto"/>
        <w:rPr>
          <w:rFonts w:ascii="微软雅黑" w:hAnsi="微软雅黑" w:eastAsia="微软雅黑" w:cs="宋体"/>
          <w:sz w:val="24"/>
        </w:rPr>
      </w:pPr>
      <w:r>
        <w:rPr>
          <w:rFonts w:hint="eastAsia" w:ascii="微软雅黑" w:hAnsi="微软雅黑" w:eastAsia="微软雅黑" w:cs="宋体"/>
          <w:b/>
          <w:bCs/>
          <w:sz w:val="24"/>
        </w:rPr>
        <w:t>审核：</w:t>
      </w:r>
      <w:r>
        <w:rPr>
          <w:rFonts w:hint="eastAsia" w:ascii="微软雅黑" w:hAnsi="微软雅黑" w:eastAsia="微软雅黑" w:cs="宋体"/>
          <w:sz w:val="24"/>
        </w:rPr>
        <w:t>当有新的质检任务时，点击该功能按钮进行质检审核操作；</w:t>
      </w:r>
    </w:p>
    <w:p>
      <w:pPr>
        <w:numPr>
          <w:ilvl w:val="0"/>
          <w:numId w:val="13"/>
        </w:numPr>
        <w:spacing w:line="360" w:lineRule="auto"/>
        <w:rPr>
          <w:rFonts w:ascii="微软雅黑" w:hAnsi="微软雅黑" w:eastAsia="微软雅黑" w:cs="宋体"/>
          <w:sz w:val="24"/>
        </w:rPr>
      </w:pPr>
      <w:r>
        <w:rPr>
          <w:rFonts w:hint="eastAsia" w:ascii="微软雅黑" w:hAnsi="微软雅黑" w:eastAsia="微软雅黑" w:cs="宋体"/>
          <w:b/>
          <w:bCs/>
          <w:sz w:val="24"/>
        </w:rPr>
        <w:t>取消审核：</w:t>
      </w:r>
      <w:r>
        <w:rPr>
          <w:rFonts w:hint="eastAsia" w:ascii="微软雅黑" w:hAnsi="微软雅黑" w:eastAsia="微软雅黑" w:cs="宋体"/>
          <w:sz w:val="24"/>
        </w:rPr>
        <w:t>已审核的质检任务，当需要撤销时，点击该功能按钮进行取消审核操作；</w:t>
      </w:r>
    </w:p>
    <w:p>
      <w:pPr>
        <w:spacing w:line="360" w:lineRule="auto"/>
        <w:rPr>
          <w:rFonts w:ascii="微软雅黑" w:hAnsi="微软雅黑" w:eastAsia="微软雅黑" w:cs="宋体"/>
          <w:sz w:val="24"/>
        </w:rPr>
      </w:pPr>
      <w:r>
        <w:rPr>
          <w:rFonts w:ascii="微软雅黑" w:hAnsi="微软雅黑" w:eastAsia="微软雅黑"/>
        </w:rPr>
        <w:drawing>
          <wp:inline distT="0" distB="0" distL="114300" distR="114300">
            <wp:extent cx="6299835" cy="2695575"/>
            <wp:effectExtent l="0" t="0" r="5715" b="9525"/>
            <wp:docPr id="1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
                    <pic:cNvPicPr>
                      <a:picLocks noChangeAspect="1"/>
                    </pic:cNvPicPr>
                  </pic:nvPicPr>
                  <pic:blipFill>
                    <a:blip r:embed="rId171" cstate="print"/>
                    <a:stretch>
                      <a:fillRect/>
                    </a:stretch>
                  </pic:blipFill>
                  <pic:spPr>
                    <a:xfrm>
                      <a:off x="0" y="0"/>
                      <a:ext cx="6299835" cy="2695575"/>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（车间任务质检参考界面）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78" w:name="_Toc3824"/>
      <w:r>
        <w:rPr>
          <w:rFonts w:hint="eastAsia" w:ascii="微软雅黑" w:hAnsi="微软雅黑" w:eastAsia="微软雅黑"/>
        </w:rPr>
        <w:t>2.2.9.2.2成品入库质检</w:t>
      </w:r>
      <w:bookmarkEnd w:id="78"/>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该模块主要用于</w:t>
      </w:r>
      <w:r>
        <w:rPr>
          <w:rFonts w:hint="eastAsia" w:ascii="微软雅黑" w:hAnsi="微软雅黑" w:eastAsia="微软雅黑" w:cs="宋体"/>
          <w:sz w:val="24"/>
          <w:lang w:val="zh-CN"/>
        </w:rPr>
        <w:t>装配完成后申请成品入库质检，由质检人员检验合格后才可以进行成品入库，保证产品质量，</w:t>
      </w:r>
      <w:r>
        <w:rPr>
          <w:rFonts w:hint="eastAsia" w:ascii="微软雅黑" w:hAnsi="微软雅黑" w:eastAsia="微软雅黑" w:cs="宋体"/>
          <w:color w:val="FF0000"/>
          <w:sz w:val="24"/>
          <w:lang w:val="zh-CN"/>
        </w:rPr>
        <w:t>同时可对包装进行质检，系统支持附件上传功能</w:t>
      </w:r>
      <w:r>
        <w:rPr>
          <w:rFonts w:hint="eastAsia" w:ascii="微软雅黑" w:hAnsi="微软雅黑" w:eastAsia="微软雅黑" w:cs="宋体"/>
          <w:sz w:val="24"/>
          <w:lang w:val="zh-CN"/>
        </w:rPr>
        <w:t>。</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30"/>
        </w:numPr>
        <w:spacing w:line="360" w:lineRule="auto"/>
        <w:rPr>
          <w:rFonts w:ascii="微软雅黑" w:hAnsi="微软雅黑" w:eastAsia="微软雅黑" w:cs="宋体"/>
          <w:sz w:val="24"/>
        </w:rPr>
      </w:pPr>
      <w:r>
        <w:rPr>
          <w:rFonts w:hint="eastAsia" w:ascii="微软雅黑" w:hAnsi="微软雅黑" w:eastAsia="微软雅黑" w:cs="宋体"/>
          <w:b/>
          <w:bCs/>
          <w:sz w:val="24"/>
        </w:rPr>
        <w:t>审核：</w:t>
      </w:r>
      <w:r>
        <w:rPr>
          <w:rFonts w:hint="eastAsia" w:ascii="微软雅黑" w:hAnsi="微软雅黑" w:eastAsia="微软雅黑" w:cs="宋体"/>
          <w:sz w:val="24"/>
        </w:rPr>
        <w:t>当有新的成品入库质检任务时，点击该功能按钮进行质检审核操作；</w:t>
      </w:r>
    </w:p>
    <w:p>
      <w:pPr>
        <w:numPr>
          <w:ilvl w:val="0"/>
          <w:numId w:val="30"/>
        </w:numPr>
        <w:spacing w:line="360" w:lineRule="auto"/>
        <w:rPr>
          <w:rFonts w:ascii="微软雅黑" w:hAnsi="微软雅黑" w:eastAsia="微软雅黑" w:cs="宋体"/>
          <w:sz w:val="24"/>
        </w:rPr>
      </w:pPr>
      <w:r>
        <w:rPr>
          <w:rFonts w:hint="eastAsia" w:ascii="微软雅黑" w:hAnsi="微软雅黑" w:eastAsia="微软雅黑" w:cs="宋体"/>
          <w:b/>
          <w:bCs/>
          <w:sz w:val="24"/>
        </w:rPr>
        <w:t>取消审核：</w:t>
      </w:r>
      <w:r>
        <w:rPr>
          <w:rFonts w:hint="eastAsia" w:ascii="微软雅黑" w:hAnsi="微软雅黑" w:eastAsia="微软雅黑" w:cs="宋体"/>
          <w:sz w:val="24"/>
        </w:rPr>
        <w:t>已审核的质检任务，当需要撤销时，点击该功能按钮进行取消审核操作；</w:t>
      </w:r>
    </w:p>
    <w:p>
      <w:pPr>
        <w:spacing w:line="360" w:lineRule="auto"/>
        <w:rPr>
          <w:rFonts w:ascii="微软雅黑" w:hAnsi="微软雅黑" w:eastAsia="微软雅黑" w:cs="宋体"/>
          <w:sz w:val="24"/>
        </w:rPr>
      </w:pPr>
      <w:r>
        <w:rPr>
          <w:rFonts w:ascii="微软雅黑" w:hAnsi="微软雅黑" w:eastAsia="微软雅黑"/>
        </w:rPr>
        <w:drawing>
          <wp:inline distT="0" distB="0" distL="114300" distR="114300">
            <wp:extent cx="6290310" cy="2667635"/>
            <wp:effectExtent l="0" t="0" r="15240" b="18415"/>
            <wp:docPr id="1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6"/>
                    <pic:cNvPicPr>
                      <a:picLocks noChangeAspect="1"/>
                    </pic:cNvPicPr>
                  </pic:nvPicPr>
                  <pic:blipFill>
                    <a:blip r:embed="rId172" cstate="print"/>
                    <a:stretch>
                      <a:fillRect/>
                    </a:stretch>
                  </pic:blipFill>
                  <pic:spPr>
                    <a:xfrm>
                      <a:off x="0" y="0"/>
                      <a:ext cx="6290310" cy="2667635"/>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（成品入库质检参考界面）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79" w:name="_Toc23383"/>
      <w:r>
        <w:rPr>
          <w:rFonts w:hint="eastAsia" w:ascii="微软雅黑" w:hAnsi="微软雅黑" w:eastAsia="微软雅黑"/>
        </w:rPr>
        <w:t>2.2.9.2.3成品出库质检</w:t>
      </w:r>
      <w:bookmarkEnd w:id="79"/>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该模块主要用于</w:t>
      </w:r>
      <w:r>
        <w:rPr>
          <w:rFonts w:hint="eastAsia" w:ascii="微软雅黑" w:hAnsi="微软雅黑" w:eastAsia="微软雅黑" w:cs="宋体"/>
          <w:sz w:val="24"/>
          <w:lang w:val="zh-CN"/>
        </w:rPr>
        <w:t>成品出库时需要由质量部进行检验，保证客户产品质量，系</w:t>
      </w:r>
      <w:r>
        <w:rPr>
          <w:rFonts w:hint="eastAsia" w:ascii="微软雅黑" w:hAnsi="微软雅黑" w:eastAsia="微软雅黑" w:cs="宋体"/>
          <w:color w:val="FF0000"/>
          <w:sz w:val="24"/>
          <w:lang w:val="zh-CN"/>
        </w:rPr>
        <w:t>统支持库存时间过长的成品出库必须进行质检功能。</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31"/>
        </w:numPr>
        <w:spacing w:line="360" w:lineRule="auto"/>
        <w:rPr>
          <w:rFonts w:ascii="微软雅黑" w:hAnsi="微软雅黑" w:eastAsia="微软雅黑" w:cs="宋体"/>
          <w:sz w:val="24"/>
        </w:rPr>
      </w:pPr>
      <w:r>
        <w:rPr>
          <w:rFonts w:hint="eastAsia" w:ascii="微软雅黑" w:hAnsi="微软雅黑" w:eastAsia="微软雅黑" w:cs="宋体"/>
          <w:b/>
          <w:bCs/>
          <w:sz w:val="24"/>
        </w:rPr>
        <w:t>审核：</w:t>
      </w:r>
      <w:r>
        <w:rPr>
          <w:rFonts w:hint="eastAsia" w:ascii="微软雅黑" w:hAnsi="微软雅黑" w:eastAsia="微软雅黑" w:cs="宋体"/>
          <w:sz w:val="24"/>
        </w:rPr>
        <w:t>当成品出库时，点击该功能按钮进行出库质检操作；</w:t>
      </w:r>
    </w:p>
    <w:p>
      <w:pPr>
        <w:numPr>
          <w:ilvl w:val="0"/>
          <w:numId w:val="31"/>
        </w:numPr>
        <w:spacing w:line="360" w:lineRule="auto"/>
        <w:rPr>
          <w:rFonts w:ascii="微软雅黑" w:hAnsi="微软雅黑" w:eastAsia="微软雅黑" w:cs="宋体"/>
          <w:sz w:val="24"/>
        </w:rPr>
      </w:pPr>
      <w:r>
        <w:rPr>
          <w:rFonts w:hint="eastAsia" w:ascii="微软雅黑" w:hAnsi="微软雅黑" w:eastAsia="微软雅黑" w:cs="宋体"/>
          <w:b/>
          <w:bCs/>
          <w:sz w:val="24"/>
        </w:rPr>
        <w:t>取消审核：</w:t>
      </w:r>
      <w:r>
        <w:rPr>
          <w:rFonts w:hint="eastAsia" w:ascii="微软雅黑" w:hAnsi="微软雅黑" w:eastAsia="微软雅黑" w:cs="宋体"/>
          <w:sz w:val="24"/>
        </w:rPr>
        <w:t>已审核的质检任务，当需要撤销时，点击该功能按钮进行取消审核操作；</w:t>
      </w:r>
    </w:p>
    <w:p>
      <w:pPr>
        <w:numPr>
          <w:ilvl w:val="0"/>
          <w:numId w:val="31"/>
        </w:numPr>
        <w:spacing w:line="360" w:lineRule="auto"/>
        <w:rPr>
          <w:rFonts w:ascii="微软雅黑" w:hAnsi="微软雅黑" w:eastAsia="微软雅黑" w:cs="宋体"/>
          <w:sz w:val="24"/>
        </w:rPr>
      </w:pPr>
      <w:r>
        <w:rPr>
          <w:rFonts w:hint="eastAsia" w:ascii="微软雅黑" w:hAnsi="微软雅黑" w:eastAsia="微软雅黑" w:cs="宋体"/>
          <w:b/>
          <w:bCs/>
          <w:sz w:val="24"/>
        </w:rPr>
        <w:t>驳回：</w:t>
      </w:r>
      <w:r>
        <w:rPr>
          <w:rFonts w:hint="eastAsia" w:ascii="微软雅黑" w:hAnsi="微软雅黑" w:eastAsia="微软雅黑" w:cs="宋体"/>
          <w:sz w:val="24"/>
        </w:rPr>
        <w:t>未审核的成品出库时，当出现发货成品质量问题时，点击该功能按钮进行驳回操作；</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114300" distR="114300">
            <wp:extent cx="6461125" cy="2752725"/>
            <wp:effectExtent l="19050" t="0" r="0" b="0"/>
            <wp:docPr id="1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7"/>
                    <pic:cNvPicPr>
                      <a:picLocks noChangeAspect="1"/>
                    </pic:cNvPicPr>
                  </pic:nvPicPr>
                  <pic:blipFill>
                    <a:blip r:embed="rId173" cstate="print"/>
                    <a:stretch>
                      <a:fillRect/>
                    </a:stretch>
                  </pic:blipFill>
                  <pic:spPr>
                    <a:xfrm>
                      <a:off x="0" y="0"/>
                      <a:ext cx="6473801" cy="2757879"/>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（成品出库质检参考界面）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80" w:name="_Toc15852"/>
      <w:r>
        <w:rPr>
          <w:rFonts w:hint="eastAsia" w:ascii="微软雅黑" w:hAnsi="微软雅黑" w:eastAsia="微软雅黑"/>
        </w:rPr>
        <w:t>2.2.9.2.4采购入库质检</w:t>
      </w:r>
      <w:bookmarkEnd w:id="80"/>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该模块主要用于采购部的采购零件进行</w:t>
      </w:r>
      <w:r>
        <w:rPr>
          <w:rFonts w:hint="eastAsia" w:ascii="微软雅黑" w:hAnsi="微软雅黑" w:eastAsia="微软雅黑" w:cs="宋体"/>
          <w:color w:val="FF0000"/>
          <w:sz w:val="24"/>
        </w:rPr>
        <w:t>全检、按比例抽检</w:t>
      </w:r>
      <w:r>
        <w:rPr>
          <w:rFonts w:hint="eastAsia" w:ascii="微软雅黑" w:hAnsi="微软雅黑" w:eastAsia="微软雅黑" w:cs="宋体"/>
          <w:sz w:val="24"/>
        </w:rPr>
        <w:t>，质检合格后方可办理入库，保证采购零件质量。</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32"/>
        </w:numPr>
        <w:spacing w:line="360" w:lineRule="auto"/>
        <w:rPr>
          <w:rFonts w:ascii="微软雅黑" w:hAnsi="微软雅黑" w:eastAsia="微软雅黑" w:cs="宋体"/>
          <w:sz w:val="24"/>
        </w:rPr>
      </w:pPr>
      <w:r>
        <w:rPr>
          <w:rFonts w:hint="eastAsia" w:ascii="微软雅黑" w:hAnsi="微软雅黑" w:eastAsia="微软雅黑" w:cs="宋体"/>
          <w:b/>
          <w:bCs/>
          <w:sz w:val="24"/>
        </w:rPr>
        <w:t>通过：</w:t>
      </w:r>
      <w:r>
        <w:rPr>
          <w:rFonts w:hint="eastAsia" w:ascii="微软雅黑" w:hAnsi="微软雅黑" w:eastAsia="微软雅黑" w:cs="宋体"/>
          <w:sz w:val="24"/>
        </w:rPr>
        <w:t>当采购件入库时，点击该功能按钮进行质检通过操作；</w:t>
      </w:r>
    </w:p>
    <w:p>
      <w:pPr>
        <w:numPr>
          <w:ilvl w:val="0"/>
          <w:numId w:val="32"/>
        </w:numPr>
        <w:spacing w:line="360" w:lineRule="auto"/>
        <w:rPr>
          <w:rFonts w:ascii="微软雅黑" w:hAnsi="微软雅黑" w:eastAsia="微软雅黑" w:cs="宋体"/>
          <w:sz w:val="24"/>
        </w:rPr>
      </w:pPr>
      <w:r>
        <w:rPr>
          <w:rFonts w:hint="eastAsia" w:ascii="微软雅黑" w:hAnsi="微软雅黑" w:eastAsia="微软雅黑" w:cs="宋体"/>
          <w:b/>
          <w:bCs/>
          <w:sz w:val="24"/>
        </w:rPr>
        <w:t>撤销：</w:t>
      </w:r>
      <w:r>
        <w:rPr>
          <w:rFonts w:hint="eastAsia" w:ascii="微软雅黑" w:hAnsi="微软雅黑" w:eastAsia="微软雅黑" w:cs="宋体"/>
          <w:sz w:val="24"/>
        </w:rPr>
        <w:t>已质检审核的采购件，当需要撤销时，点击该功能按钮进行撤销操作；</w:t>
      </w:r>
    </w:p>
    <w:p>
      <w:pPr>
        <w:numPr>
          <w:ilvl w:val="0"/>
          <w:numId w:val="32"/>
        </w:numPr>
        <w:spacing w:line="360" w:lineRule="auto"/>
        <w:rPr>
          <w:rFonts w:ascii="微软雅黑" w:hAnsi="微软雅黑" w:eastAsia="微软雅黑" w:cs="宋体"/>
          <w:sz w:val="24"/>
        </w:rPr>
      </w:pPr>
      <w:r>
        <w:rPr>
          <w:rFonts w:hint="eastAsia" w:ascii="微软雅黑" w:hAnsi="微软雅黑" w:eastAsia="微软雅黑" w:cs="宋体"/>
          <w:b/>
          <w:bCs/>
          <w:sz w:val="24"/>
        </w:rPr>
        <w:t>驳回：</w:t>
      </w:r>
      <w:r>
        <w:rPr>
          <w:rFonts w:hint="eastAsia" w:ascii="微软雅黑" w:hAnsi="微软雅黑" w:eastAsia="微软雅黑" w:cs="宋体"/>
          <w:sz w:val="24"/>
        </w:rPr>
        <w:t>未质检的采购件，当发现到货单信息与实物不符时，点击该功能按钮进行驳回操作；</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114300" distR="114300">
            <wp:extent cx="6299835" cy="2681605"/>
            <wp:effectExtent l="0" t="0" r="5715" b="4445"/>
            <wp:docPr id="1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8"/>
                    <pic:cNvPicPr>
                      <a:picLocks noChangeAspect="1"/>
                    </pic:cNvPicPr>
                  </pic:nvPicPr>
                  <pic:blipFill>
                    <a:blip r:embed="rId174" cstate="print"/>
                    <a:stretch>
                      <a:fillRect/>
                    </a:stretch>
                  </pic:blipFill>
                  <pic:spPr>
                    <a:xfrm>
                      <a:off x="0" y="0"/>
                      <a:ext cx="6299835" cy="2681605"/>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（采购入库质检参考界面）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lang w:val="zh-CN"/>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81" w:name="_Toc896"/>
      <w:r>
        <w:rPr>
          <w:rFonts w:hint="eastAsia" w:ascii="微软雅黑" w:hAnsi="微软雅黑" w:eastAsia="微软雅黑"/>
        </w:rPr>
        <w:t>2.2.9.2.5</w:t>
      </w:r>
      <w:bookmarkEnd w:id="81"/>
      <w:bookmarkStart w:id="82" w:name="_Toc23738"/>
      <w:r>
        <w:rPr>
          <w:rFonts w:hint="eastAsia" w:ascii="微软雅黑" w:hAnsi="微软雅黑" w:eastAsia="微软雅黑"/>
        </w:rPr>
        <w:t>不合格品单生成</w:t>
      </w:r>
      <w:bookmarkEnd w:id="82"/>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该模块主要用于</w:t>
      </w:r>
      <w:r>
        <w:rPr>
          <w:rFonts w:hint="eastAsia" w:ascii="微软雅黑" w:hAnsi="微软雅黑" w:eastAsia="微软雅黑" w:cs="宋体"/>
          <w:sz w:val="24"/>
          <w:lang w:val="zh-CN"/>
        </w:rPr>
        <w:t>任何质检中出现不合格品需要生成不合格品单，输入不合格品属性和不合格品判定</w:t>
      </w:r>
      <w:r>
        <w:rPr>
          <w:rFonts w:hint="eastAsia" w:ascii="微软雅黑" w:hAnsi="微软雅黑" w:eastAsia="微软雅黑" w:cs="宋体"/>
          <w:sz w:val="24"/>
        </w:rPr>
        <w:t>结果</w:t>
      </w:r>
      <w:r>
        <w:rPr>
          <w:rFonts w:hint="eastAsia" w:ascii="微软雅黑" w:hAnsi="微软雅黑" w:eastAsia="微软雅黑" w:cs="宋体"/>
          <w:sz w:val="24"/>
          <w:lang w:val="zh-CN"/>
        </w:rPr>
        <w:t>。系统可根据相应属性进行质量损失统计</w:t>
      </w:r>
      <w:r>
        <w:rPr>
          <w:rFonts w:hint="eastAsia" w:ascii="微软雅黑" w:hAnsi="微软雅黑" w:eastAsia="微软雅黑" w:cs="宋体"/>
          <w:sz w:val="24"/>
        </w:rPr>
        <w:t>。</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33"/>
        </w:numPr>
        <w:spacing w:line="360" w:lineRule="auto"/>
        <w:rPr>
          <w:rFonts w:ascii="微软雅黑" w:hAnsi="微软雅黑" w:eastAsia="微软雅黑" w:cs="宋体"/>
          <w:sz w:val="24"/>
        </w:rPr>
      </w:pPr>
      <w:r>
        <w:rPr>
          <w:rFonts w:hint="eastAsia" w:ascii="微软雅黑" w:hAnsi="微软雅黑" w:eastAsia="微软雅黑" w:cs="宋体"/>
          <w:b/>
          <w:bCs/>
          <w:sz w:val="24"/>
        </w:rPr>
        <w:t>生成：</w:t>
      </w:r>
      <w:r>
        <w:rPr>
          <w:rFonts w:hint="eastAsia" w:ascii="微软雅黑" w:hAnsi="微软雅黑" w:eastAsia="微软雅黑" w:cs="宋体"/>
          <w:sz w:val="24"/>
        </w:rPr>
        <w:t>当出现不合格品时，点击该功能按钮进行不合格品单生成操作；</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114300" distR="114300">
            <wp:extent cx="6294755" cy="2686685"/>
            <wp:effectExtent l="0" t="0" r="10795" b="18415"/>
            <wp:docPr id="1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0"/>
                    <pic:cNvPicPr>
                      <a:picLocks noChangeAspect="1"/>
                    </pic:cNvPicPr>
                  </pic:nvPicPr>
                  <pic:blipFill>
                    <a:blip r:embed="rId175" cstate="print"/>
                    <a:stretch>
                      <a:fillRect/>
                    </a:stretch>
                  </pic:blipFill>
                  <pic:spPr>
                    <a:xfrm>
                      <a:off x="0" y="0"/>
                      <a:ext cx="6294755" cy="2686685"/>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（不合格品单生成参考界面）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lang w:val="zh-CN"/>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83" w:name="_Toc15709"/>
      <w:r>
        <w:rPr>
          <w:rFonts w:hint="eastAsia" w:ascii="微软雅黑" w:hAnsi="微软雅黑" w:eastAsia="微软雅黑"/>
        </w:rPr>
        <w:t>2.2.9.2.6不合格品单维护</w:t>
      </w:r>
      <w:bookmarkEnd w:id="83"/>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该模块主要用于质检员编辑不合格品单的情况及原因描述、责任认定和处理类型等信息。</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34"/>
        </w:numPr>
        <w:spacing w:line="360" w:lineRule="auto"/>
        <w:rPr>
          <w:rFonts w:ascii="微软雅黑" w:hAnsi="微软雅黑" w:eastAsia="微软雅黑" w:cs="宋体"/>
          <w:sz w:val="24"/>
        </w:rPr>
      </w:pPr>
      <w:r>
        <w:rPr>
          <w:rFonts w:hint="eastAsia" w:ascii="微软雅黑" w:hAnsi="微软雅黑" w:eastAsia="微软雅黑" w:cs="宋体"/>
          <w:b/>
          <w:bCs/>
          <w:sz w:val="24"/>
        </w:rPr>
        <w:t>修改：</w:t>
      </w:r>
      <w:r>
        <w:rPr>
          <w:rFonts w:hint="eastAsia" w:ascii="微软雅黑" w:hAnsi="微软雅黑" w:eastAsia="微软雅黑" w:cs="宋体"/>
          <w:sz w:val="24"/>
        </w:rPr>
        <w:t>当编辑不合格品单内容时，点击该功能按钮进行编辑操作；</w:t>
      </w:r>
    </w:p>
    <w:p>
      <w:pPr>
        <w:numPr>
          <w:ilvl w:val="0"/>
          <w:numId w:val="34"/>
        </w:numPr>
        <w:spacing w:line="360" w:lineRule="auto"/>
        <w:rPr>
          <w:rFonts w:ascii="微软雅黑" w:hAnsi="微软雅黑" w:eastAsia="微软雅黑" w:cs="宋体"/>
          <w:sz w:val="24"/>
        </w:rPr>
      </w:pPr>
      <w:r>
        <w:rPr>
          <w:rFonts w:hint="eastAsia" w:ascii="微软雅黑" w:hAnsi="微软雅黑" w:eastAsia="微软雅黑" w:cs="宋体"/>
          <w:b/>
          <w:bCs/>
          <w:sz w:val="24"/>
        </w:rPr>
        <w:t>提交：</w:t>
      </w:r>
      <w:r>
        <w:rPr>
          <w:rFonts w:hint="eastAsia" w:ascii="微软雅黑" w:hAnsi="微软雅黑" w:eastAsia="微软雅黑" w:cs="宋体"/>
          <w:sz w:val="24"/>
        </w:rPr>
        <w:t>当质检员编辑完不合格品单对应的原因、责任认定和处理类型后，进行提交判定操作。</w:t>
      </w:r>
    </w:p>
    <w:p>
      <w:pPr>
        <w:numPr>
          <w:ilvl w:val="0"/>
          <w:numId w:val="34"/>
        </w:numPr>
        <w:spacing w:line="360" w:lineRule="auto"/>
        <w:rPr>
          <w:rFonts w:ascii="微软雅黑" w:hAnsi="微软雅黑" w:eastAsia="微软雅黑" w:cs="宋体"/>
          <w:sz w:val="24"/>
        </w:rPr>
      </w:pPr>
      <w:r>
        <w:rPr>
          <w:rFonts w:hint="eastAsia" w:ascii="微软雅黑" w:hAnsi="微软雅黑" w:eastAsia="微软雅黑" w:cs="宋体"/>
          <w:b/>
          <w:bCs/>
          <w:sz w:val="24"/>
        </w:rPr>
        <w:t>撤销：</w:t>
      </w:r>
      <w:r>
        <w:rPr>
          <w:rFonts w:hint="eastAsia" w:ascii="微软雅黑" w:hAnsi="微软雅黑" w:eastAsia="微软雅黑" w:cs="宋体"/>
          <w:sz w:val="24"/>
        </w:rPr>
        <w:t>当已提交的不合格品单需要撤销修改时，点击该功能按钮进行撤销操作。</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114300" distR="114300">
            <wp:extent cx="6291580" cy="2671445"/>
            <wp:effectExtent l="0" t="0" r="13970" b="14605"/>
            <wp:docPr id="1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1"/>
                    <pic:cNvPicPr>
                      <a:picLocks noChangeAspect="1"/>
                    </pic:cNvPicPr>
                  </pic:nvPicPr>
                  <pic:blipFill>
                    <a:blip r:embed="rId176" cstate="print"/>
                    <a:stretch>
                      <a:fillRect/>
                    </a:stretch>
                  </pic:blipFill>
                  <pic:spPr>
                    <a:xfrm>
                      <a:off x="0" y="0"/>
                      <a:ext cx="6291580" cy="2671445"/>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（不合格品单维护参考界面）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lang w:val="zh-CN"/>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84" w:name="_Toc22512"/>
      <w:r>
        <w:rPr>
          <w:rFonts w:hint="eastAsia" w:ascii="微软雅黑" w:hAnsi="微软雅黑" w:eastAsia="微软雅黑"/>
        </w:rPr>
        <w:t>2.2.9.2.7不合格品单判定</w:t>
      </w:r>
      <w:bookmarkEnd w:id="84"/>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该模块主要用于</w:t>
      </w:r>
      <w:r>
        <w:rPr>
          <w:rFonts w:hint="eastAsia" w:ascii="微软雅黑" w:hAnsi="微软雅黑" w:eastAsia="微软雅黑" w:cs="宋体"/>
          <w:sz w:val="24"/>
          <w:lang w:val="zh-CN"/>
        </w:rPr>
        <w:t>出现不合格品需要进行不合格品判定，确定责任人和损失程度。系统可根据相应属性进行质量损失统计</w:t>
      </w:r>
      <w:r>
        <w:rPr>
          <w:rFonts w:hint="eastAsia" w:ascii="微软雅黑" w:hAnsi="微软雅黑" w:eastAsia="微软雅黑" w:cs="宋体"/>
          <w:sz w:val="24"/>
        </w:rPr>
        <w:t>。</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35"/>
        </w:numPr>
        <w:spacing w:line="360" w:lineRule="auto"/>
        <w:rPr>
          <w:rFonts w:ascii="微软雅黑" w:hAnsi="微软雅黑" w:eastAsia="微软雅黑" w:cs="宋体"/>
          <w:sz w:val="24"/>
        </w:rPr>
      </w:pPr>
      <w:r>
        <w:rPr>
          <w:rFonts w:hint="eastAsia" w:ascii="微软雅黑" w:hAnsi="微软雅黑" w:eastAsia="微软雅黑" w:cs="宋体"/>
          <w:b/>
          <w:bCs/>
          <w:sz w:val="24"/>
        </w:rPr>
        <w:t>审核：</w:t>
      </w:r>
      <w:r>
        <w:rPr>
          <w:rFonts w:hint="eastAsia" w:ascii="微软雅黑" w:hAnsi="微软雅黑" w:eastAsia="微软雅黑" w:cs="宋体"/>
          <w:sz w:val="24"/>
        </w:rPr>
        <w:t>当判定不合格品单时，点击该功能按钮进行编辑操作；</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114300" distR="114300">
            <wp:extent cx="6299835" cy="2695575"/>
            <wp:effectExtent l="0" t="0" r="5715" b="952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77" cstate="print"/>
                    <a:stretch>
                      <a:fillRect/>
                    </a:stretch>
                  </pic:blipFill>
                  <pic:spPr>
                    <a:xfrm>
                      <a:off x="0" y="0"/>
                      <a:ext cx="6299835" cy="2695575"/>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（不合格品单判定参考界面）</w:t>
      </w:r>
    </w:p>
    <w:p>
      <w:pPr>
        <w:widowControl/>
        <w:jc w:val="left"/>
        <w:rPr>
          <w:rFonts w:ascii="微软雅黑" w:hAnsi="微软雅黑" w:eastAsia="微软雅黑"/>
          <w:b/>
          <w:bCs/>
          <w:sz w:val="28"/>
          <w:szCs w:val="24"/>
        </w:rPr>
      </w:pPr>
      <w:bookmarkStart w:id="85" w:name="_Toc24179"/>
      <w:r>
        <w:rPr>
          <w:rFonts w:ascii="微软雅黑" w:hAnsi="微软雅黑" w:eastAsia="微软雅黑"/>
        </w:rPr>
        <w:br w:type="page"/>
      </w:r>
    </w:p>
    <w:p>
      <w:pPr>
        <w:pStyle w:val="4"/>
        <w:rPr>
          <w:rFonts w:ascii="微软雅黑" w:hAnsi="微软雅黑" w:eastAsia="微软雅黑"/>
          <w:color w:val="auto"/>
          <w:lang w:val="en-US"/>
        </w:rPr>
      </w:pPr>
      <w:bookmarkStart w:id="86" w:name="_Toc508831159"/>
      <w:r>
        <w:rPr>
          <w:rFonts w:hint="eastAsia" w:ascii="微软雅黑" w:hAnsi="微软雅黑" w:eastAsia="微软雅黑"/>
          <w:color w:val="auto"/>
          <w:lang w:val="en-US"/>
        </w:rPr>
        <w:t>2.2.10仓储管理</w:t>
      </w:r>
      <w:bookmarkEnd w:id="85"/>
      <w:bookmarkEnd w:id="86"/>
    </w:p>
    <w:p>
      <w:pPr>
        <w:pStyle w:val="5"/>
        <w:rPr>
          <w:rFonts w:ascii="微软雅黑" w:hAnsi="微软雅黑" w:eastAsia="微软雅黑"/>
        </w:rPr>
      </w:pPr>
      <w:bookmarkStart w:id="87" w:name="_Toc508831160"/>
      <w:bookmarkStart w:id="88" w:name="_Toc31412"/>
      <w:r>
        <w:rPr>
          <w:rFonts w:hint="eastAsia" w:ascii="微软雅黑" w:hAnsi="微软雅黑" w:eastAsia="微软雅黑"/>
        </w:rPr>
        <w:t>2.2.10.1业务流程</w:t>
      </w:r>
      <w:bookmarkEnd w:id="87"/>
      <w:bookmarkEnd w:id="88"/>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sz w:val="21"/>
                <w:szCs w:val="21"/>
              </w:rPr>
              <w:t>1</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仓储总流程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snapToGrid w:val="0"/>
              <w:ind w:left="0"/>
              <w:rPr>
                <w:rFonts w:ascii="微软雅黑" w:hAnsi="微软雅黑" w:eastAsia="微软雅黑" w:cs="微软雅黑"/>
              </w:rPr>
            </w:pPr>
            <w:r>
              <w:rPr>
                <w:rFonts w:hint="eastAsia" w:ascii="微软雅黑" w:hAnsi="微软雅黑" w:eastAsia="微软雅黑" w:cs="微软雅黑"/>
                <w:lang w:val="zh-CN"/>
              </w:rPr>
              <w:t>采购员根据物品到货情况，办理入库申请，生成入库申请单，并提交至质检部；质检员负责检验入库单上的物品是否合格，如果合格，则提交入库单信息至WMS系统，如果出现不合格情况，需填写不合格信息，进入不合格质量处理流程；WMS系统根据入库单信息，办理入库手续，将物品存放到指定的货位上；物品入库后，车间领料员可申请领料，生成领料单，并提交至主管部门领导进行审核；主管部门负责人审核领料信息，审核通过后，由WMS系统库管员办理出库手续；可直接发至工作岛或者车间线边库；当领取的物品未使用完时，领料员可进行退料申请，将物品退还至WMS库房进行保管。每月底由财务人员对各个仓库执行月结程序，生成仓库、种类、物料等相关月结报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object>
                <v:shape id="_x0000_i1085" o:spt="75" type="#_x0000_t75" style="height:411.75pt;width:275.25pt;" o:ole="t" filled="f" o:preferrelative="t" stroked="f" coordsize="21600,21600">
                  <v:path/>
                  <v:fill on="f" focussize="0,0"/>
                  <v:stroke on="f" joinstyle="miter"/>
                  <v:imagedata r:id="rId179" o:title=""/>
                  <o:lock v:ext="edit" aspectratio="t"/>
                  <w10:wrap type="none"/>
                  <w10:anchorlock/>
                </v:shape>
                <o:OLEObject Type="Embed" ProgID="Visio.Drawing.11" ShapeID="_x0000_i1085" DrawAspect="Content" ObjectID="_1468075785" r:id="rId178">
                  <o:LockedField>false</o:LockedField>
                </o:OLEObject>
              </w:object>
            </w:r>
          </w:p>
        </w:tc>
      </w:tr>
    </w:tbl>
    <w:p>
      <w:pPr>
        <w:rPr>
          <w:rFonts w:ascii="微软雅黑" w:hAnsi="微软雅黑" w:eastAsia="微软雅黑"/>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1.1</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入库流程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lang w:val="zh-CN"/>
              </w:rPr>
              <w:t>由采购员发起入库申请，填写入库申请单内容，包括：入库物资、入库数量、入库仓库等信息，生成入库申请单，并提交至质检部；质检员负责检验入库单上的物品是否合格，如果合格，则提交入库单信息至库管员，如果出现不合格情况，需填写不合格信息，进入不合格质量处理流程；WMS系统库管员根据入库单信息，一方面可办理入库手续，将物品存放到指定的货位上，系统自动更新库存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hint="eastAsia" w:ascii="微软雅黑" w:hAnsi="微软雅黑" w:eastAsia="微软雅黑" w:cs="微软雅黑"/>
              </w:rPr>
              <w:object>
                <v:shape id="_x0000_i1086" o:spt="75" type="#_x0000_t75" style="height:430.5pt;width:270.75pt;" o:ole="t" filled="f" o:preferrelative="t" stroked="f" coordsize="21600,21600">
                  <v:path/>
                  <v:fill on="f" focussize="0,0"/>
                  <v:stroke on="f" joinstyle="miter"/>
                  <v:imagedata r:id="rId181" o:title=""/>
                  <o:lock v:ext="edit" aspectratio="f"/>
                  <w10:wrap type="none"/>
                  <w10:anchorlock/>
                </v:shape>
                <o:OLEObject Type="Embed" ProgID="Visio.Drawing.11" ShapeID="_x0000_i1086" DrawAspect="Content" ObjectID="_1468075786" r:id="rId180">
                  <o:LockedField>false</o:LockedField>
                </o:OLEObject>
              </w:object>
            </w:r>
          </w:p>
        </w:tc>
      </w:tr>
    </w:tbl>
    <w:p>
      <w:pPr>
        <w:rPr>
          <w:rFonts w:ascii="微软雅黑" w:hAnsi="微软雅黑" w:eastAsia="微软雅黑"/>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1.2</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出库流程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lang w:val="zh-CN"/>
              </w:rPr>
              <w:t>由车间领料员发起领料申请，填写领料内容，包括：领取物资、领取数量、领料员、用途等信息，生成领料单，并提交至主管部门；主管部门负责人审核领料信息，审核通过后，由WCS库管员办理出库手续，系统自动更新库存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object>
                <v:shape id="_x0000_i1087" o:spt="75" type="#_x0000_t75" style="height:516.75pt;width:281.25pt;" o:ole="t" filled="f" o:preferrelative="t" stroked="f" coordsize="21600,21600">
                  <v:path/>
                  <v:fill on="f" focussize="0,0"/>
                  <v:stroke on="f" joinstyle="miter"/>
                  <v:imagedata r:id="rId183" o:title=""/>
                  <o:lock v:ext="edit" aspectratio="t"/>
                  <w10:wrap type="none"/>
                  <w10:anchorlock/>
                </v:shape>
                <o:OLEObject Type="Embed" ProgID="Visio.Drawing.11" ShapeID="_x0000_i1087" DrawAspect="Content" ObjectID="_1468075787" r:id="rId182">
                  <o:LockedField>false</o:LockedField>
                </o:OLEObject>
              </w:object>
            </w:r>
          </w:p>
        </w:tc>
      </w:tr>
    </w:tbl>
    <w:p>
      <w:pPr>
        <w:rPr>
          <w:rFonts w:ascii="微软雅黑" w:hAnsi="微软雅黑" w:eastAsia="微软雅黑"/>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1.3</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月结流程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lang w:val="zh-CN"/>
              </w:rPr>
              <w:t>每月底由财务人员对线边库执行月结程序，生成仓库、种类、物料等相关月结报表信息。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hint="eastAsia" w:ascii="微软雅黑" w:hAnsi="微软雅黑" w:eastAsia="微软雅黑" w:cs="微软雅黑"/>
              </w:rPr>
              <w:object>
                <v:shape id="_x0000_i1088" o:spt="75" type="#_x0000_t75" style="height:414pt;width:254.25pt;" o:ole="t" filled="f" o:preferrelative="t" stroked="f" coordsize="21600,21600">
                  <v:path/>
                  <v:fill on="f" focussize="0,0"/>
                  <v:stroke on="f" joinstyle="miter"/>
                  <v:imagedata r:id="rId185" o:title=""/>
                  <o:lock v:ext="edit" aspectratio="f"/>
                  <w10:wrap type="none"/>
                  <w10:anchorlock/>
                </v:shape>
                <o:OLEObject Type="Embed" ProgID="Visio.Drawing.11" ShapeID="_x0000_i1088" DrawAspect="Content" ObjectID="_1468075788" r:id="rId184">
                  <o:LockedField>false</o:LockedField>
                </o:OLEObject>
              </w:object>
            </w:r>
          </w:p>
        </w:tc>
      </w:tr>
    </w:tbl>
    <w:p>
      <w:pPr>
        <w:rPr>
          <w:rFonts w:ascii="微软雅黑" w:hAnsi="微软雅黑" w:eastAsia="微软雅黑"/>
        </w:rPr>
      </w:pPr>
    </w:p>
    <w:tbl>
      <w:tblPr>
        <w:tblStyle w:val="3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1.4</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盘点流程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lang w:val="zh-CN"/>
              </w:rPr>
              <w:t>由库管员发起盘点申请，录入盘点内容，生成盘点单，提交盘点单至主管部门；主管部门负责人审核盘点单信息，核对盘点信息是否正确，审核通过后，盘点信息自动传递至财务部；财务部人员根据盘点单信息，办理下账操作，系统自动更新库存账信息，将系统账与实际账调整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hint="eastAsia" w:ascii="微软雅黑" w:hAnsi="微软雅黑" w:eastAsia="微软雅黑" w:cs="微软雅黑"/>
              </w:rPr>
              <w:object>
                <v:shape id="_x0000_i1089" o:spt="75" type="#_x0000_t75" style="height:515.25pt;width:204.75pt;" o:ole="t" filled="f" o:preferrelative="t" stroked="f" coordsize="21600,21600">
                  <v:path/>
                  <v:fill on="f" focussize="0,0"/>
                  <v:stroke on="f" joinstyle="miter"/>
                  <v:imagedata r:id="rId187" o:title=""/>
                  <o:lock v:ext="edit" aspectratio="f"/>
                  <w10:wrap type="none"/>
                  <w10:anchorlock/>
                </v:shape>
                <o:OLEObject Type="Embed" ProgID="Visio.Drawing.11" ShapeID="_x0000_i1089" DrawAspect="Content" ObjectID="_1468075789" r:id="rId186">
                  <o:LockedField>false</o:LockedField>
                </o:OLEObject>
              </w:object>
            </w:r>
          </w:p>
        </w:tc>
      </w:tr>
    </w:tbl>
    <w:p>
      <w:pPr>
        <w:rPr>
          <w:rFonts w:ascii="微软雅黑" w:hAnsi="微软雅黑" w:eastAsia="微软雅黑"/>
        </w:rPr>
      </w:pPr>
    </w:p>
    <w:p>
      <w:pPr>
        <w:pStyle w:val="5"/>
        <w:rPr>
          <w:rFonts w:ascii="微软雅黑" w:hAnsi="微软雅黑" w:eastAsia="微软雅黑"/>
        </w:rPr>
      </w:pPr>
      <w:bookmarkStart w:id="89" w:name="_Toc508831161"/>
      <w:bookmarkStart w:id="90" w:name="_Toc1283"/>
      <w:r>
        <w:rPr>
          <w:rFonts w:hint="eastAsia" w:ascii="微软雅黑" w:hAnsi="微软雅黑" w:eastAsia="微软雅黑"/>
        </w:rPr>
        <w:t>2.2.10.2功能模块</w:t>
      </w:r>
      <w:bookmarkEnd w:id="89"/>
      <w:bookmarkEnd w:id="90"/>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91" w:name="_Toc21013"/>
      <w:r>
        <w:rPr>
          <w:rFonts w:hint="eastAsia" w:ascii="微软雅黑" w:hAnsi="微软雅黑" w:eastAsia="微软雅黑"/>
        </w:rPr>
        <w:t>2.2.10.2.1 入库单查询管理</w:t>
      </w:r>
      <w:bookmarkEnd w:id="91"/>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该模块主要用来对采购系统申请入库的物料信息进行查询管理，主要管理入库基本信息和明细信息。该模块包含的主要系统操作有：</w:t>
      </w:r>
    </w:p>
    <w:p>
      <w:pPr>
        <w:numPr>
          <w:ilvl w:val="0"/>
          <w:numId w:val="36"/>
        </w:numPr>
        <w:spacing w:line="360" w:lineRule="auto"/>
        <w:rPr>
          <w:rFonts w:ascii="微软雅黑" w:hAnsi="微软雅黑" w:eastAsia="微软雅黑" w:cs="宋体"/>
          <w:sz w:val="24"/>
        </w:rPr>
      </w:pPr>
      <w:r>
        <w:rPr>
          <w:rFonts w:hint="eastAsia" w:ascii="微软雅黑" w:hAnsi="微软雅黑" w:eastAsia="微软雅黑" w:cs="宋体"/>
          <w:b/>
          <w:bCs/>
          <w:sz w:val="24"/>
        </w:rPr>
        <w:t>查询：</w:t>
      </w:r>
      <w:r>
        <w:rPr>
          <w:rFonts w:hint="eastAsia" w:ascii="微软雅黑" w:hAnsi="微软雅黑" w:eastAsia="微软雅黑" w:cs="宋体"/>
          <w:sz w:val="24"/>
        </w:rPr>
        <w:t>当有新的入库单需要办理入库时，点击该功能按钮进行入库操作；</w:t>
      </w:r>
    </w:p>
    <w:p>
      <w:pPr>
        <w:numPr>
          <w:ilvl w:val="0"/>
          <w:numId w:val="36"/>
        </w:numPr>
        <w:spacing w:line="360" w:lineRule="auto"/>
        <w:rPr>
          <w:rFonts w:ascii="微软雅黑" w:hAnsi="微软雅黑" w:eastAsia="微软雅黑" w:cs="宋体"/>
          <w:b/>
          <w:bCs/>
          <w:sz w:val="24"/>
        </w:rPr>
      </w:pPr>
      <w:r>
        <w:rPr>
          <w:rFonts w:hint="eastAsia" w:ascii="微软雅黑" w:hAnsi="微软雅黑" w:eastAsia="微软雅黑" w:cs="宋体"/>
          <w:b/>
          <w:bCs/>
          <w:sz w:val="24"/>
        </w:rPr>
        <w:t>导出：</w:t>
      </w:r>
      <w:r>
        <w:rPr>
          <w:rFonts w:hint="eastAsia" w:ascii="微软雅黑" w:hAnsi="微软雅黑" w:eastAsia="微软雅黑" w:cs="宋体"/>
          <w:sz w:val="24"/>
        </w:rPr>
        <w:t>当需要按照查询条件导出入库单时，点击该功能按钮进行导出操作；</w:t>
      </w:r>
    </w:p>
    <w:p>
      <w:pPr>
        <w:numPr>
          <w:ilvl w:val="0"/>
          <w:numId w:val="36"/>
        </w:numPr>
        <w:spacing w:line="360" w:lineRule="auto"/>
        <w:rPr>
          <w:rFonts w:ascii="微软雅黑" w:hAnsi="微软雅黑" w:eastAsia="微软雅黑" w:cs="宋体"/>
          <w:b/>
          <w:bCs/>
          <w:sz w:val="24"/>
        </w:rPr>
      </w:pPr>
      <w:r>
        <w:rPr>
          <w:rFonts w:hint="eastAsia" w:ascii="微软雅黑" w:hAnsi="微软雅黑" w:eastAsia="微软雅黑" w:cs="宋体"/>
          <w:b/>
          <w:bCs/>
          <w:sz w:val="24"/>
        </w:rPr>
        <w:t>打印：</w:t>
      </w:r>
      <w:r>
        <w:rPr>
          <w:rFonts w:hint="eastAsia" w:ascii="微软雅黑" w:hAnsi="微软雅黑" w:eastAsia="微软雅黑" w:cs="宋体"/>
          <w:sz w:val="24"/>
        </w:rPr>
        <w:t>当需要打印入库单时，点击该功能按钮进行打印操作；</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114300" distR="114300">
            <wp:extent cx="6299835" cy="2681605"/>
            <wp:effectExtent l="0" t="0" r="5715" b="4445"/>
            <wp:docPr id="1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8"/>
                    <pic:cNvPicPr>
                      <a:picLocks noChangeAspect="1"/>
                    </pic:cNvPicPr>
                  </pic:nvPicPr>
                  <pic:blipFill>
                    <a:blip r:embed="rId188" cstate="print"/>
                    <a:stretch>
                      <a:fillRect/>
                    </a:stretch>
                  </pic:blipFill>
                  <pic:spPr>
                    <a:xfrm>
                      <a:off x="0" y="0"/>
                      <a:ext cx="6299835" cy="2681605"/>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（入库单查询管理参考界面）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92" w:name="_Toc19284"/>
      <w:r>
        <w:rPr>
          <w:rFonts w:hint="eastAsia" w:ascii="微软雅黑" w:hAnsi="微软雅黑" w:eastAsia="微软雅黑"/>
        </w:rPr>
        <w:t>2.2.10.2.2 出库单管理</w:t>
      </w:r>
      <w:bookmarkEnd w:id="92"/>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该模块主要用来对车间领料的信息进行统一规范管理，主要管理出库基本信息和明细信息。</w:t>
      </w:r>
      <w:r>
        <w:rPr>
          <w:rFonts w:hint="eastAsia" w:ascii="微软雅黑" w:hAnsi="微软雅黑" w:eastAsia="微软雅黑" w:cs="宋体"/>
          <w:sz w:val="24"/>
          <w:lang w:val="zh-CN"/>
        </w:rPr>
        <w:t>由车间领料员提出领料申请，录入领料信息，生成出库单凭证，提交出库单至主管部门；主管部门负责人审核出库单信息，核对领料信息是否正确，审核通过后，领料信息自动传递至WMS系统库管员；WMS库管员根据出库单上领料信息，实际发货给领料员，并办理出库下账操作，系统自动减少库存账信息。</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37"/>
        </w:numPr>
        <w:spacing w:line="360" w:lineRule="auto"/>
        <w:rPr>
          <w:rFonts w:ascii="微软雅黑" w:hAnsi="微软雅黑" w:eastAsia="微软雅黑" w:cs="宋体"/>
          <w:sz w:val="24"/>
        </w:rPr>
      </w:pPr>
      <w:r>
        <w:rPr>
          <w:rFonts w:hint="eastAsia" w:ascii="微软雅黑" w:hAnsi="微软雅黑" w:eastAsia="微软雅黑" w:cs="宋体"/>
          <w:b/>
          <w:bCs/>
          <w:sz w:val="24"/>
        </w:rPr>
        <w:t>出库：</w:t>
      </w:r>
      <w:r>
        <w:rPr>
          <w:rFonts w:hint="eastAsia" w:ascii="微软雅黑" w:hAnsi="微软雅黑" w:eastAsia="微软雅黑" w:cs="宋体"/>
          <w:sz w:val="24"/>
        </w:rPr>
        <w:t>当有新的出库单需要办理出库时，点击该功能按钮进行出库操作提交至WMS系统；</w:t>
      </w:r>
    </w:p>
    <w:p>
      <w:pPr>
        <w:numPr>
          <w:ilvl w:val="0"/>
          <w:numId w:val="37"/>
        </w:numPr>
        <w:spacing w:line="360" w:lineRule="auto"/>
        <w:rPr>
          <w:rFonts w:ascii="微软雅黑" w:hAnsi="微软雅黑" w:eastAsia="微软雅黑" w:cs="宋体"/>
          <w:sz w:val="24"/>
        </w:rPr>
      </w:pPr>
      <w:r>
        <w:rPr>
          <w:rFonts w:hint="eastAsia" w:ascii="微软雅黑" w:hAnsi="微软雅黑" w:eastAsia="微软雅黑" w:cs="宋体"/>
          <w:b/>
          <w:bCs/>
          <w:sz w:val="24"/>
        </w:rPr>
        <w:t>取消出库：</w:t>
      </w:r>
      <w:r>
        <w:rPr>
          <w:rFonts w:hint="eastAsia" w:ascii="微软雅黑" w:hAnsi="微软雅黑" w:eastAsia="微软雅黑" w:cs="宋体"/>
          <w:sz w:val="24"/>
        </w:rPr>
        <w:t>已出库的出库单，当需要撤销时，点击该功能按钮进行取消出库操作；</w:t>
      </w:r>
    </w:p>
    <w:p>
      <w:pPr>
        <w:numPr>
          <w:ilvl w:val="0"/>
          <w:numId w:val="37"/>
        </w:numPr>
        <w:spacing w:line="360" w:lineRule="auto"/>
        <w:rPr>
          <w:rFonts w:ascii="微软雅黑" w:hAnsi="微软雅黑" w:eastAsia="微软雅黑" w:cs="宋体"/>
          <w:sz w:val="24"/>
        </w:rPr>
      </w:pPr>
      <w:r>
        <w:rPr>
          <w:rFonts w:hint="eastAsia" w:ascii="微软雅黑" w:hAnsi="微软雅黑" w:eastAsia="微软雅黑" w:cs="宋体"/>
          <w:b/>
          <w:bCs/>
          <w:sz w:val="24"/>
        </w:rPr>
        <w:t>驳回：</w:t>
      </w:r>
      <w:r>
        <w:rPr>
          <w:rFonts w:hint="eastAsia" w:ascii="微软雅黑" w:hAnsi="微软雅黑" w:eastAsia="微软雅黑" w:cs="宋体"/>
          <w:sz w:val="24"/>
        </w:rPr>
        <w:t>未出库的出库单，当发现出库信息与实物不符时，点击该功能按钮进行驳回操作；</w:t>
      </w:r>
    </w:p>
    <w:p>
      <w:pPr>
        <w:numPr>
          <w:ilvl w:val="0"/>
          <w:numId w:val="37"/>
        </w:numPr>
        <w:spacing w:line="360" w:lineRule="auto"/>
        <w:rPr>
          <w:rFonts w:ascii="微软雅黑" w:hAnsi="微软雅黑" w:eastAsia="微软雅黑" w:cs="宋体"/>
          <w:b/>
          <w:bCs/>
          <w:sz w:val="24"/>
        </w:rPr>
      </w:pPr>
      <w:r>
        <w:rPr>
          <w:rFonts w:hint="eastAsia" w:ascii="微软雅黑" w:hAnsi="微软雅黑" w:eastAsia="微软雅黑" w:cs="宋体"/>
          <w:b/>
          <w:bCs/>
          <w:sz w:val="24"/>
        </w:rPr>
        <w:t>打印：</w:t>
      </w:r>
      <w:r>
        <w:rPr>
          <w:rFonts w:hint="eastAsia" w:ascii="微软雅黑" w:hAnsi="微软雅黑" w:eastAsia="微软雅黑" w:cs="宋体"/>
          <w:sz w:val="24"/>
        </w:rPr>
        <w:t>当需要打印出库单时，点击该功能按钮进行打印操作；</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114300" distR="114300">
            <wp:extent cx="6291580" cy="2685415"/>
            <wp:effectExtent l="0" t="0" r="13970" b="635"/>
            <wp:docPr id="1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9"/>
                    <pic:cNvPicPr>
                      <a:picLocks noChangeAspect="1"/>
                    </pic:cNvPicPr>
                  </pic:nvPicPr>
                  <pic:blipFill>
                    <a:blip r:embed="rId189" cstate="print"/>
                    <a:stretch>
                      <a:fillRect/>
                    </a:stretch>
                  </pic:blipFill>
                  <pic:spPr>
                    <a:xfrm>
                      <a:off x="0" y="0"/>
                      <a:ext cx="6291580" cy="2685415"/>
                    </a:xfrm>
                    <a:prstGeom prst="rect">
                      <a:avLst/>
                    </a:prstGeom>
                    <a:noFill/>
                    <a:ln w="9525">
                      <a:noFill/>
                    </a:ln>
                  </pic:spPr>
                </pic:pic>
              </a:graphicData>
            </a:graphic>
          </wp:inline>
        </w:drawing>
      </w:r>
    </w:p>
    <w:p>
      <w:pPr>
        <w:snapToGrid w:val="0"/>
        <w:jc w:val="center"/>
        <w:rPr>
          <w:rFonts w:ascii="微软雅黑" w:hAnsi="微软雅黑" w:eastAsia="微软雅黑" w:cs="宋体"/>
          <w:sz w:val="24"/>
        </w:rPr>
      </w:pPr>
      <w:r>
        <w:rPr>
          <w:rFonts w:hint="eastAsia" w:ascii="微软雅黑" w:hAnsi="微软雅黑" w:eastAsia="微软雅黑" w:cs="宋体"/>
          <w:sz w:val="24"/>
        </w:rPr>
        <w:t>（出库单管理参考界面）</w:t>
      </w:r>
    </w:p>
    <w:p>
      <w:pPr>
        <w:widowControl/>
        <w:autoSpaceDE w:val="0"/>
        <w:autoSpaceDN w:val="0"/>
        <w:adjustRightInd w:val="0"/>
        <w:snapToGrid w:val="0"/>
        <w:spacing w:beforeLines="50" w:afterLines="50"/>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autoSpaceDE w:val="0"/>
        <w:autoSpaceDN w:val="0"/>
        <w:adjustRightInd w:val="0"/>
        <w:snapToGrid w:val="0"/>
        <w:spacing w:beforeLines="50" w:afterLines="50"/>
        <w:jc w:val="left"/>
        <w:textAlignment w:val="baseline"/>
        <w:rPr>
          <w:rFonts w:ascii="微软雅黑" w:hAnsi="微软雅黑" w:eastAsia="微软雅黑"/>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93" w:name="_Toc20991"/>
      <w:r>
        <w:rPr>
          <w:rFonts w:hint="eastAsia" w:ascii="微软雅黑" w:hAnsi="微软雅黑" w:eastAsia="微软雅黑"/>
        </w:rPr>
        <w:t>2.2.10.2.3 退库管理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该模块主要用于</w:t>
      </w:r>
      <w:r>
        <w:rPr>
          <w:rFonts w:hint="eastAsia" w:ascii="微软雅黑" w:hAnsi="微软雅黑" w:eastAsia="微软雅黑" w:cs="宋体"/>
          <w:sz w:val="24"/>
          <w:lang w:val="zh-CN"/>
        </w:rPr>
        <w:t>当车间领取的物资，未使用完，需暂存仓库进行保管时，应由业务员根据实际剩余物资情况，办理退库申请操作，生成退库单，并提交退库单至WMS系统；</w:t>
      </w:r>
      <w:r>
        <w:rPr>
          <w:rFonts w:hint="eastAsia" w:ascii="微软雅黑" w:hAnsi="微软雅黑" w:eastAsia="微软雅黑" w:cs="宋体"/>
          <w:sz w:val="24"/>
        </w:rPr>
        <w:t>主WMS系统退库单信息无误，进行确认退库操作并写入中间表</w:t>
      </w:r>
      <w:r>
        <w:rPr>
          <w:rFonts w:hint="eastAsia" w:ascii="微软雅黑" w:hAnsi="微软雅黑" w:eastAsia="微软雅黑" w:cs="宋体"/>
          <w:sz w:val="24"/>
          <w:lang w:val="zh-CN"/>
        </w:rPr>
        <w:t>。</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38"/>
        </w:numPr>
        <w:spacing w:line="360" w:lineRule="auto"/>
        <w:rPr>
          <w:rFonts w:ascii="微软雅黑" w:hAnsi="微软雅黑" w:eastAsia="微软雅黑" w:cs="宋体"/>
          <w:sz w:val="24"/>
        </w:rPr>
      </w:pPr>
      <w:r>
        <w:rPr>
          <w:rFonts w:hint="eastAsia" w:ascii="微软雅黑" w:hAnsi="微软雅黑" w:eastAsia="微软雅黑" w:cs="宋体"/>
          <w:b/>
          <w:bCs/>
          <w:sz w:val="24"/>
        </w:rPr>
        <w:t>确认：</w:t>
      </w:r>
      <w:r>
        <w:rPr>
          <w:rFonts w:hint="eastAsia" w:ascii="微软雅黑" w:hAnsi="微软雅黑" w:eastAsia="微软雅黑" w:cs="宋体"/>
          <w:sz w:val="24"/>
        </w:rPr>
        <w:t>当领取的物料需要退库时，点击该功能按钮进行退库操作；</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114300" distR="114300">
            <wp:extent cx="6076950" cy="2343150"/>
            <wp:effectExtent l="19050" t="0" r="0" b="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190" cstate="print"/>
                    <a:stretch>
                      <a:fillRect/>
                    </a:stretch>
                  </pic:blipFill>
                  <pic:spPr>
                    <a:xfrm>
                      <a:off x="0" y="0"/>
                      <a:ext cx="6076950" cy="2343150"/>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（退库管理参考界面）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bookmarkEnd w:id="93"/>
    </w:p>
    <w:p>
      <w:pPr>
        <w:widowControl/>
        <w:autoSpaceDE w:val="0"/>
        <w:autoSpaceDN w:val="0"/>
        <w:adjustRightInd w:val="0"/>
        <w:spacing w:beforeLines="50" w:afterLines="50" w:line="360" w:lineRule="auto"/>
        <w:jc w:val="left"/>
        <w:textAlignment w:val="baseline"/>
        <w:rPr>
          <w:rFonts w:ascii="微软雅黑" w:hAnsi="微软雅黑" w:eastAsia="微软雅黑"/>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94" w:name="_Toc29737"/>
      <w:r>
        <w:rPr>
          <w:rFonts w:hint="eastAsia" w:ascii="微软雅黑" w:hAnsi="微软雅黑" w:eastAsia="微软雅黑"/>
        </w:rPr>
        <w:t xml:space="preserve">2.2.10.2.4 </w:t>
      </w:r>
      <w:bookmarkEnd w:id="94"/>
      <w:bookmarkStart w:id="95" w:name="_Toc5790"/>
      <w:r>
        <w:rPr>
          <w:rFonts w:hint="eastAsia" w:ascii="微软雅黑" w:hAnsi="微软雅黑" w:eastAsia="微软雅黑"/>
        </w:rPr>
        <w:t>月结管理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该模块主要用于</w:t>
      </w:r>
      <w:r>
        <w:rPr>
          <w:rFonts w:hint="eastAsia" w:ascii="微软雅黑" w:hAnsi="微软雅黑" w:eastAsia="微软雅黑" w:cs="宋体"/>
          <w:sz w:val="24"/>
          <w:lang w:val="zh-CN"/>
        </w:rPr>
        <w:t>财务人员按月对各个仓库进行月结操作，产生对应的仓库月结报表。</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39"/>
        </w:numPr>
        <w:spacing w:line="360" w:lineRule="auto"/>
        <w:rPr>
          <w:rFonts w:ascii="微软雅黑" w:hAnsi="微软雅黑" w:eastAsia="微软雅黑" w:cs="宋体"/>
          <w:sz w:val="24"/>
        </w:rPr>
      </w:pPr>
      <w:r>
        <w:rPr>
          <w:rFonts w:hint="eastAsia" w:ascii="微软雅黑" w:hAnsi="微软雅黑" w:eastAsia="微软雅黑" w:cs="宋体"/>
          <w:b/>
          <w:bCs/>
          <w:sz w:val="24"/>
        </w:rPr>
        <w:t>月结记账：</w:t>
      </w:r>
      <w:r>
        <w:rPr>
          <w:rFonts w:hint="eastAsia" w:ascii="微软雅黑" w:hAnsi="微软雅黑" w:eastAsia="微软雅黑" w:cs="宋体"/>
          <w:sz w:val="24"/>
        </w:rPr>
        <w:t>当某个仓库需要月结时，点击该功能按钮进行月结操作并提交WMS系统；</w:t>
      </w:r>
    </w:p>
    <w:p>
      <w:pPr>
        <w:numPr>
          <w:ilvl w:val="0"/>
          <w:numId w:val="39"/>
        </w:numPr>
        <w:spacing w:line="360" w:lineRule="auto"/>
        <w:rPr>
          <w:rFonts w:ascii="微软雅黑" w:hAnsi="微软雅黑" w:eastAsia="微软雅黑" w:cs="宋体"/>
          <w:sz w:val="24"/>
        </w:rPr>
      </w:pPr>
      <w:r>
        <w:rPr>
          <w:rFonts w:hint="eastAsia" w:ascii="微软雅黑" w:hAnsi="微软雅黑" w:eastAsia="微软雅黑" w:cs="宋体"/>
          <w:b/>
          <w:bCs/>
          <w:sz w:val="24"/>
        </w:rPr>
        <w:t>取消记账：</w:t>
      </w:r>
      <w:r>
        <w:rPr>
          <w:rFonts w:hint="eastAsia" w:ascii="微软雅黑" w:hAnsi="微软雅黑" w:eastAsia="微软雅黑" w:cs="宋体"/>
          <w:sz w:val="24"/>
        </w:rPr>
        <w:t>当已月结的仓库需要撤销时，点击该功能按钮进行取消月结操作；</w:t>
      </w:r>
    </w:p>
    <w:p>
      <w:pPr>
        <w:numPr>
          <w:ilvl w:val="0"/>
          <w:numId w:val="39"/>
        </w:numPr>
        <w:spacing w:line="360" w:lineRule="auto"/>
        <w:rPr>
          <w:rFonts w:ascii="微软雅黑" w:hAnsi="微软雅黑" w:eastAsia="微软雅黑" w:cs="宋体"/>
          <w:sz w:val="24"/>
        </w:rPr>
      </w:pPr>
      <w:r>
        <w:rPr>
          <w:rFonts w:hint="eastAsia" w:ascii="微软雅黑" w:hAnsi="微软雅黑" w:eastAsia="微软雅黑" w:cs="宋体"/>
          <w:b/>
          <w:bCs/>
          <w:sz w:val="24"/>
        </w:rPr>
        <w:t>初始仓库：</w:t>
      </w:r>
      <w:r>
        <w:rPr>
          <w:rFonts w:hint="eastAsia" w:ascii="微软雅黑" w:hAnsi="微软雅黑" w:eastAsia="微软雅黑" w:cs="宋体"/>
          <w:sz w:val="24"/>
        </w:rPr>
        <w:t>当某月需要对仓库进行月结时，点击该功能按钮生成需月结的仓库记录；</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114300" distR="114300">
            <wp:extent cx="6134100" cy="209042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1" cstate="print"/>
                    <a:stretch>
                      <a:fillRect/>
                    </a:stretch>
                  </pic:blipFill>
                  <pic:spPr>
                    <a:xfrm>
                      <a:off x="0" y="0"/>
                      <a:ext cx="6138240" cy="2092436"/>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（月结管理参考界面）</w:t>
      </w:r>
    </w:p>
    <w:p>
      <w:pPr>
        <w:spacing w:line="360" w:lineRule="auto"/>
        <w:jc w:val="left"/>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bookmarkEnd w:id="95"/>
    </w:p>
    <w:p>
      <w:pPr>
        <w:widowControl/>
        <w:autoSpaceDE w:val="0"/>
        <w:autoSpaceDN w:val="0"/>
        <w:adjustRightInd w:val="0"/>
        <w:spacing w:beforeLines="50" w:afterLines="50" w:line="360" w:lineRule="auto"/>
        <w:jc w:val="left"/>
        <w:textAlignment w:val="baseline"/>
        <w:rPr>
          <w:rFonts w:ascii="微软雅黑" w:hAnsi="微软雅黑" w:eastAsia="微软雅黑"/>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96" w:name="_Toc4327"/>
      <w:r>
        <w:rPr>
          <w:rFonts w:hint="eastAsia" w:ascii="微软雅黑" w:hAnsi="微软雅黑" w:eastAsia="微软雅黑"/>
        </w:rPr>
        <w:t>2.2.10.2.5 盘点单管理</w:t>
      </w:r>
      <w:bookmarkEnd w:id="96"/>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该模块主要用于</w:t>
      </w:r>
      <w:r>
        <w:rPr>
          <w:rFonts w:hint="eastAsia" w:ascii="微软雅黑" w:hAnsi="微软雅黑" w:eastAsia="微软雅黑" w:cs="宋体"/>
          <w:sz w:val="24"/>
          <w:lang w:val="zh-CN"/>
        </w:rPr>
        <w:t>企业</w:t>
      </w:r>
      <w:r>
        <w:rPr>
          <w:rFonts w:hint="eastAsia" w:ascii="微软雅黑" w:hAnsi="微软雅黑" w:eastAsia="微软雅黑" w:cs="宋体"/>
          <w:sz w:val="24"/>
        </w:rPr>
        <w:t>根据</w:t>
      </w:r>
      <w:r>
        <w:rPr>
          <w:rFonts w:hint="eastAsia" w:ascii="微软雅黑" w:hAnsi="微软雅黑" w:eastAsia="微软雅黑" w:cs="宋体"/>
          <w:sz w:val="24"/>
          <w:lang w:val="zh-CN"/>
        </w:rPr>
        <w:t>管理需要定期对库存账进行盘点，需由库管员发起盘点申请，录入盘点内容，生成盘点单，提交盘点单至WMS系统；WMS系统写入中间表后，MES系统提取完成，由主管部门负责人审核盘点单信息，核对盘点信息是否正确，审核通过后，盘点信息自动传递至WMS系统提取数据，完成后由MES系统提交至财务部；财务部人员根据盘点单信息，办理下账操作，WMS系统自动更新库存账信息，将系统账与实际账调整一致。</w:t>
      </w:r>
    </w:p>
    <w:p>
      <w:pPr>
        <w:spacing w:line="360" w:lineRule="auto"/>
        <w:rPr>
          <w:rFonts w:ascii="微软雅黑" w:hAnsi="微软雅黑" w:eastAsia="微软雅黑" w:cs="宋体"/>
          <w:sz w:val="24"/>
        </w:rPr>
      </w:pPr>
      <w:r>
        <w:rPr>
          <w:rFonts w:hint="eastAsia" w:ascii="微软雅黑" w:hAnsi="微软雅黑" w:eastAsia="微软雅黑" w:cs="宋体"/>
          <w:sz w:val="24"/>
        </w:rPr>
        <w:t>该模块包含的主要系统操作有：</w:t>
      </w:r>
    </w:p>
    <w:p>
      <w:pPr>
        <w:numPr>
          <w:ilvl w:val="0"/>
          <w:numId w:val="40"/>
        </w:numPr>
        <w:spacing w:line="360" w:lineRule="auto"/>
        <w:rPr>
          <w:rFonts w:ascii="微软雅黑" w:hAnsi="微软雅黑" w:eastAsia="微软雅黑" w:cs="宋体"/>
          <w:sz w:val="24"/>
        </w:rPr>
      </w:pPr>
      <w:r>
        <w:rPr>
          <w:rFonts w:hint="eastAsia" w:ascii="微软雅黑" w:hAnsi="微软雅黑" w:eastAsia="微软雅黑" w:cs="宋体"/>
          <w:b/>
          <w:bCs/>
          <w:sz w:val="24"/>
        </w:rPr>
        <w:t>生成盘点单：</w:t>
      </w:r>
      <w:r>
        <w:rPr>
          <w:rFonts w:hint="eastAsia" w:ascii="微软雅黑" w:hAnsi="微软雅黑" w:eastAsia="微软雅黑" w:cs="宋体"/>
          <w:sz w:val="24"/>
        </w:rPr>
        <w:t>当需要按照仓库或物资类别生成盘点单时，点击该功能按钮进行生成操作；</w:t>
      </w:r>
    </w:p>
    <w:p>
      <w:pPr>
        <w:numPr>
          <w:ilvl w:val="0"/>
          <w:numId w:val="40"/>
        </w:numPr>
        <w:spacing w:line="360" w:lineRule="auto"/>
        <w:rPr>
          <w:rFonts w:ascii="微软雅黑" w:hAnsi="微软雅黑" w:eastAsia="微软雅黑" w:cs="宋体"/>
          <w:sz w:val="24"/>
        </w:rPr>
      </w:pPr>
      <w:r>
        <w:rPr>
          <w:rFonts w:hint="eastAsia" w:ascii="微软雅黑" w:hAnsi="微软雅黑" w:eastAsia="微软雅黑" w:cs="宋体"/>
          <w:b/>
          <w:bCs/>
          <w:sz w:val="24"/>
        </w:rPr>
        <w:t>提交：</w:t>
      </w:r>
      <w:r>
        <w:rPr>
          <w:rFonts w:hint="eastAsia" w:ascii="微软雅黑" w:hAnsi="微软雅黑" w:eastAsia="微软雅黑" w:cs="宋体"/>
          <w:sz w:val="24"/>
        </w:rPr>
        <w:t>已生成的盘点单，当需要提交时，点击该功能按钮进行提交操作；</w:t>
      </w:r>
    </w:p>
    <w:p>
      <w:pPr>
        <w:spacing w:line="360" w:lineRule="auto"/>
        <w:jc w:val="center"/>
        <w:rPr>
          <w:rFonts w:ascii="微软雅黑" w:hAnsi="微软雅黑" w:eastAsia="微软雅黑" w:cs="宋体"/>
          <w:sz w:val="24"/>
        </w:rPr>
      </w:pPr>
      <w:r>
        <w:rPr>
          <w:rFonts w:ascii="微软雅黑" w:hAnsi="微软雅黑" w:eastAsia="微软雅黑"/>
        </w:rPr>
        <w:drawing>
          <wp:inline distT="0" distB="0" distL="114300" distR="114300">
            <wp:extent cx="6292850" cy="2717800"/>
            <wp:effectExtent l="0" t="0" r="12700" b="6350"/>
            <wp:docPr id="1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0"/>
                    <pic:cNvPicPr>
                      <a:picLocks noChangeAspect="1"/>
                    </pic:cNvPicPr>
                  </pic:nvPicPr>
                  <pic:blipFill>
                    <a:blip r:embed="rId192" cstate="print"/>
                    <a:stretch>
                      <a:fillRect/>
                    </a:stretch>
                  </pic:blipFill>
                  <pic:spPr>
                    <a:xfrm>
                      <a:off x="0" y="0"/>
                      <a:ext cx="6292850" cy="2717800"/>
                    </a:xfrm>
                    <a:prstGeom prst="rect">
                      <a:avLst/>
                    </a:prstGeom>
                    <a:noFill/>
                    <a:ln w="9525">
                      <a:noFill/>
                    </a:ln>
                  </pic:spPr>
                </pic:pic>
              </a:graphicData>
            </a:graphic>
          </wp:inline>
        </w:drawing>
      </w:r>
    </w:p>
    <w:p>
      <w:pPr>
        <w:spacing w:line="360" w:lineRule="auto"/>
        <w:jc w:val="center"/>
        <w:rPr>
          <w:rFonts w:ascii="微软雅黑" w:hAnsi="微软雅黑" w:eastAsia="微软雅黑" w:cs="宋体"/>
          <w:sz w:val="24"/>
        </w:rPr>
      </w:pPr>
      <w:r>
        <w:rPr>
          <w:rFonts w:hint="eastAsia" w:ascii="微软雅黑" w:hAnsi="微软雅黑" w:eastAsia="微软雅黑" w:cs="宋体"/>
          <w:sz w:val="24"/>
        </w:rPr>
        <w:t>（盘点单管理参考界面）</w:t>
      </w:r>
    </w:p>
    <w:p>
      <w:pPr>
        <w:widowControl/>
        <w:autoSpaceDE w:val="0"/>
        <w:autoSpaceDN w:val="0"/>
        <w:adjustRightInd w:val="0"/>
        <w:spacing w:beforeLines="50" w:afterLines="50" w:line="360" w:lineRule="auto"/>
        <w:jc w:val="left"/>
        <w:textAlignment w:val="baseline"/>
        <w:rPr>
          <w:rFonts w:ascii="微软雅黑" w:hAnsi="微软雅黑" w:eastAsia="微软雅黑" w:cs="宋体"/>
          <w:sz w:val="24"/>
        </w:rPr>
      </w:pPr>
      <w:r>
        <w:rPr>
          <w:rFonts w:hint="eastAsia" w:ascii="微软雅黑" w:hAnsi="微软雅黑" w:eastAsia="微软雅黑" w:cs="宋体"/>
          <w:b/>
          <w:bCs/>
          <w:sz w:val="24"/>
        </w:rPr>
        <w:t>说明：</w:t>
      </w:r>
      <w:r>
        <w:rPr>
          <w:rFonts w:hint="eastAsia" w:ascii="微软雅黑" w:hAnsi="微软雅黑" w:eastAsia="微软雅黑" w:cs="宋体"/>
          <w:sz w:val="24"/>
        </w:rPr>
        <w:t>上述功能设计仅供用户方评审方案用，实际项目开发内容可根据用户方的真实需求进行量体定制开发；</w:t>
      </w:r>
    </w:p>
    <w:p>
      <w:pPr>
        <w:widowControl/>
        <w:autoSpaceDE w:val="0"/>
        <w:autoSpaceDN w:val="0"/>
        <w:adjustRightInd w:val="0"/>
        <w:spacing w:beforeLines="50" w:afterLines="50" w:line="360" w:lineRule="auto"/>
        <w:jc w:val="left"/>
        <w:textAlignment w:val="baseline"/>
        <w:rPr>
          <w:rFonts w:ascii="微软雅黑" w:hAnsi="微软雅黑" w:eastAsia="微软雅黑"/>
          <w:lang w:val="zh-CN"/>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bookmarkStart w:id="97" w:name="_Toc24911"/>
      <w:r>
        <w:rPr>
          <w:rFonts w:hint="eastAsia" w:ascii="微软雅黑" w:hAnsi="微软雅黑" w:eastAsia="微软雅黑"/>
        </w:rPr>
        <w:t>2.2.10.2.</w:t>
      </w:r>
      <w:bookmarkEnd w:id="97"/>
      <w:r>
        <w:rPr>
          <w:rFonts w:hint="eastAsia" w:ascii="微软雅黑" w:hAnsi="微软雅黑" w:eastAsia="微软雅黑"/>
        </w:rPr>
        <w:t>6 发货管理</w:t>
      </w:r>
    </w:p>
    <w:p>
      <w:pPr>
        <w:spacing w:line="360" w:lineRule="auto"/>
        <w:ind w:firstLine="420"/>
        <w:rPr>
          <w:rFonts w:ascii="微软雅黑" w:hAnsi="微软雅黑" w:eastAsia="微软雅黑" w:cs="宋体"/>
          <w:sz w:val="24"/>
        </w:rPr>
      </w:pPr>
      <w:r>
        <w:rPr>
          <w:rFonts w:hint="eastAsia" w:ascii="微软雅黑" w:hAnsi="微软雅黑" w:eastAsia="微软雅黑" w:cs="宋体"/>
          <w:sz w:val="24"/>
        </w:rPr>
        <w:t>此模块主要用于产品发货的管理，包括发货指令的录入、编辑、删除、下发等。系统有权限控制，只有授权的业务员可查看和操作权限内的发货信息。此模块的主要操作有：</w:t>
      </w:r>
    </w:p>
    <w:p>
      <w:pPr>
        <w:spacing w:line="360" w:lineRule="auto"/>
        <w:ind w:firstLine="420"/>
        <w:rPr>
          <w:rFonts w:ascii="微软雅黑" w:hAnsi="微软雅黑" w:eastAsia="微软雅黑" w:cs="宋体"/>
          <w:sz w:val="24"/>
        </w:rPr>
      </w:pPr>
      <w:r>
        <w:rPr>
          <w:rFonts w:hint="eastAsia" w:ascii="微软雅黑" w:hAnsi="微软雅黑" w:eastAsia="微软雅黑" w:cs="宋体"/>
          <w:b/>
          <w:sz w:val="24"/>
        </w:rPr>
        <w:t>查询：</w:t>
      </w:r>
      <w:r>
        <w:rPr>
          <w:rFonts w:hint="eastAsia" w:ascii="微软雅黑" w:hAnsi="微软雅黑" w:eastAsia="微软雅黑" w:cs="宋体"/>
          <w:sz w:val="24"/>
        </w:rPr>
        <w:t>可查询需要发货的产品信息</w:t>
      </w:r>
    </w:p>
    <w:p>
      <w:pPr>
        <w:spacing w:line="360" w:lineRule="auto"/>
        <w:ind w:firstLine="420"/>
        <w:rPr>
          <w:rFonts w:ascii="微软雅黑" w:hAnsi="微软雅黑" w:eastAsia="微软雅黑" w:cs="宋体"/>
          <w:sz w:val="24"/>
        </w:rPr>
      </w:pPr>
      <w:r>
        <w:rPr>
          <w:rFonts w:hint="eastAsia" w:ascii="微软雅黑" w:hAnsi="微软雅黑" w:eastAsia="微软雅黑" w:cs="宋体"/>
          <w:b/>
          <w:sz w:val="24"/>
        </w:rPr>
        <w:t>完工出库：</w:t>
      </w:r>
      <w:r>
        <w:rPr>
          <w:rFonts w:hint="eastAsia" w:ascii="微软雅黑" w:hAnsi="微软雅黑" w:eastAsia="微软雅黑" w:cs="宋体"/>
          <w:sz w:val="24"/>
        </w:rPr>
        <w:t>可对需要申请出库的产品申请出库，提交等</w:t>
      </w:r>
    </w:p>
    <w:p>
      <w:pPr>
        <w:rPr>
          <w:rFonts w:ascii="微软雅黑" w:hAnsi="微软雅黑" w:eastAsia="微软雅黑"/>
        </w:rPr>
      </w:pPr>
      <w:r>
        <w:rPr>
          <w:rFonts w:ascii="微软雅黑" w:hAnsi="微软雅黑" w:eastAsia="微软雅黑"/>
        </w:rPr>
        <w:drawing>
          <wp:inline distT="0" distB="0" distL="0" distR="0">
            <wp:extent cx="6300470" cy="987425"/>
            <wp:effectExtent l="19050" t="0" r="508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193" cstate="print"/>
                    <a:srcRect/>
                    <a:stretch>
                      <a:fillRect/>
                    </a:stretch>
                  </pic:blipFill>
                  <pic:spPr>
                    <a:xfrm>
                      <a:off x="0" y="0"/>
                      <a:ext cx="6300470" cy="987671"/>
                    </a:xfrm>
                    <a:prstGeom prst="rect">
                      <a:avLst/>
                    </a:prstGeom>
                    <a:noFill/>
                    <a:ln w="9525">
                      <a:noFill/>
                      <a:miter lim="800000"/>
                      <a:headEnd/>
                      <a:tailEnd/>
                    </a:ln>
                  </pic:spPr>
                </pic:pic>
              </a:graphicData>
            </a:graphic>
          </wp:inline>
        </w:drawing>
      </w:r>
    </w:p>
    <w:p>
      <w:pPr>
        <w:widowControl/>
        <w:autoSpaceDE w:val="0"/>
        <w:autoSpaceDN w:val="0"/>
        <w:adjustRightInd w:val="0"/>
        <w:spacing w:beforeLines="50" w:afterLines="50" w:line="360" w:lineRule="auto"/>
        <w:jc w:val="center"/>
        <w:textAlignment w:val="baseline"/>
        <w:rPr>
          <w:rFonts w:ascii="微软雅黑" w:hAnsi="微软雅黑" w:eastAsia="微软雅黑"/>
          <w:sz w:val="24"/>
          <w:szCs w:val="24"/>
        </w:rPr>
      </w:pPr>
      <w:r>
        <w:rPr>
          <w:rFonts w:hint="eastAsia" w:ascii="微软雅黑" w:hAnsi="微软雅黑" w:eastAsia="微软雅黑"/>
          <w:sz w:val="24"/>
          <w:szCs w:val="24"/>
        </w:rPr>
        <w:t>（发货管理参考界面）</w:t>
      </w:r>
      <w:r>
        <w:rPr>
          <w:rFonts w:hint="eastAsia" w:ascii="微软雅黑" w:hAnsi="微软雅黑" w:eastAsia="微软雅黑"/>
          <w:color w:val="FF0000"/>
          <w:sz w:val="24"/>
          <w:szCs w:val="24"/>
        </w:rPr>
        <w:t>（审批功能线下执行，将审批结果、用户回执等附件上传系统）</w:t>
      </w:r>
    </w:p>
    <w:p>
      <w:pPr>
        <w:widowControl/>
        <w:jc w:val="left"/>
        <w:rPr>
          <w:rFonts w:ascii="微软雅黑" w:hAnsi="微软雅黑" w:eastAsia="微软雅黑" w:cs="微软雅黑"/>
          <w:b/>
          <w:bCs/>
          <w:sz w:val="28"/>
          <w:szCs w:val="28"/>
        </w:rPr>
      </w:pPr>
      <w:r>
        <w:rPr>
          <w:rFonts w:ascii="微软雅黑" w:hAnsi="微软雅黑" w:eastAsia="微软雅黑" w:cs="微软雅黑"/>
          <w:szCs w:val="28"/>
        </w:rPr>
        <w:br w:type="page"/>
      </w:r>
    </w:p>
    <w:p>
      <w:pPr>
        <w:pStyle w:val="4"/>
        <w:spacing w:before="160" w:after="160"/>
        <w:rPr>
          <w:rFonts w:ascii="微软雅黑" w:hAnsi="微软雅黑" w:eastAsia="微软雅黑" w:cs="微软雅黑"/>
          <w:color w:val="auto"/>
          <w:szCs w:val="28"/>
          <w:lang w:val="en-US"/>
        </w:rPr>
      </w:pPr>
      <w:bookmarkStart w:id="98" w:name="_Toc508831162"/>
      <w:r>
        <w:rPr>
          <w:rFonts w:hint="eastAsia" w:ascii="微软雅黑" w:hAnsi="微软雅黑" w:eastAsia="微软雅黑" w:cs="微软雅黑"/>
          <w:color w:val="auto"/>
          <w:szCs w:val="28"/>
          <w:lang w:val="en-US"/>
        </w:rPr>
        <w:t>2.2.11成本核算管理</w:t>
      </w:r>
      <w:bookmarkEnd w:id="98"/>
    </w:p>
    <w:p>
      <w:pPr>
        <w:pStyle w:val="5"/>
        <w:rPr>
          <w:rFonts w:ascii="微软雅黑" w:hAnsi="微软雅黑" w:eastAsia="微软雅黑"/>
        </w:rPr>
      </w:pPr>
      <w:bookmarkStart w:id="99" w:name="_Toc508831163"/>
      <w:r>
        <w:rPr>
          <w:rFonts w:hint="eastAsia" w:ascii="微软雅黑" w:hAnsi="微软雅黑" w:eastAsia="微软雅黑"/>
        </w:rPr>
        <w:t>2.2.11.1业务流程</w:t>
      </w:r>
      <w:bookmarkEnd w:id="99"/>
    </w:p>
    <w:tbl>
      <w:tblPr>
        <w:tblStyle w:val="37"/>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15"/>
        <w:gridCol w:w="1575"/>
        <w:gridCol w:w="3666"/>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tcPr>
          <w:p>
            <w:pPr>
              <w:pStyle w:val="17"/>
              <w:ind w:left="0"/>
              <w:jc w:val="right"/>
              <w:rPr>
                <w:rFonts w:ascii="微软雅黑" w:hAnsi="微软雅黑" w:eastAsia="微软雅黑" w:cs="微软雅黑"/>
                <w:b/>
                <w:bCs/>
                <w:sz w:val="22"/>
                <w:szCs w:val="22"/>
              </w:rPr>
            </w:pPr>
            <w:r>
              <w:rPr>
                <w:rFonts w:hint="eastAsia" w:ascii="微软雅黑" w:hAnsi="微软雅黑" w:eastAsia="微软雅黑" w:cs="微软雅黑"/>
                <w:b/>
                <w:bCs/>
                <w:sz w:val="22"/>
                <w:szCs w:val="22"/>
              </w:rPr>
              <w:t>序号</w:t>
            </w:r>
          </w:p>
        </w:tc>
        <w:tc>
          <w:tcPr>
            <w:tcW w:w="615" w:type="dxa"/>
          </w:tcPr>
          <w:p>
            <w:pPr>
              <w:pStyle w:val="17"/>
              <w:ind w:left="0"/>
              <w:jc w:val="center"/>
              <w:rPr>
                <w:rFonts w:ascii="微软雅黑" w:hAnsi="微软雅黑" w:eastAsia="微软雅黑" w:cs="微软雅黑"/>
              </w:rPr>
            </w:pPr>
            <w:r>
              <w:rPr>
                <w:rFonts w:hint="eastAsia" w:ascii="微软雅黑" w:hAnsi="微软雅黑" w:eastAsia="微软雅黑" w:cs="微软雅黑"/>
              </w:rPr>
              <w:t>3</w:t>
            </w:r>
          </w:p>
        </w:tc>
        <w:tc>
          <w:tcPr>
            <w:tcW w:w="1575"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名称</w:t>
            </w:r>
          </w:p>
        </w:tc>
        <w:tc>
          <w:tcPr>
            <w:tcW w:w="3666" w:type="dxa"/>
          </w:tcPr>
          <w:p>
            <w:pPr>
              <w:pStyle w:val="17"/>
              <w:ind w:left="0"/>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实际成本核算业务流程</w:t>
            </w:r>
          </w:p>
        </w:tc>
        <w:tc>
          <w:tcPr>
            <w:tcW w:w="1643" w:type="dxa"/>
          </w:tcPr>
          <w:p>
            <w:pPr>
              <w:pStyle w:val="17"/>
              <w:ind w:left="0"/>
              <w:jc w:val="center"/>
              <w:rPr>
                <w:rFonts w:ascii="微软雅黑" w:hAnsi="微软雅黑" w:eastAsia="微软雅黑" w:cs="微软雅黑"/>
              </w:rPr>
            </w:pPr>
            <w:r>
              <w:rPr>
                <w:rFonts w:hint="eastAsia" w:ascii="微软雅黑" w:hAnsi="微软雅黑" w:eastAsia="微软雅黑" w:cs="微软雅黑"/>
                <w:b/>
                <w:bCs/>
                <w:sz w:val="22"/>
                <w:szCs w:val="22"/>
              </w:rPr>
              <w:t>版本</w:t>
            </w:r>
          </w:p>
        </w:tc>
        <w:tc>
          <w:tcPr>
            <w:tcW w:w="1643" w:type="dxa"/>
          </w:tcPr>
          <w:p>
            <w:pPr>
              <w:pStyle w:val="17"/>
              <w:ind w:left="0"/>
              <w:rPr>
                <w:rFonts w:ascii="微软雅黑" w:hAnsi="微软雅黑" w:eastAsia="微软雅黑" w:cs="微软雅黑"/>
              </w:rPr>
            </w:pPr>
            <w:r>
              <w:rPr>
                <w:rFonts w:hint="eastAsia" w:ascii="微软雅黑" w:hAnsi="微软雅黑" w:eastAsia="微软雅黑" w:cs="微软雅黑"/>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gridSpan w:val="2"/>
          </w:tcPr>
          <w:p>
            <w:pPr>
              <w:pStyle w:val="17"/>
              <w:ind w:left="0"/>
              <w:jc w:val="center"/>
              <w:rPr>
                <w:rFonts w:ascii="微软雅黑" w:hAnsi="微软雅黑" w:eastAsia="微软雅黑" w:cs="微软雅黑"/>
                <w:sz w:val="21"/>
                <w:szCs w:val="21"/>
              </w:rPr>
            </w:pPr>
            <w:r>
              <w:rPr>
                <w:rFonts w:hint="eastAsia" w:ascii="微软雅黑" w:hAnsi="微软雅黑" w:eastAsia="微软雅黑" w:cs="微软雅黑"/>
                <w:b/>
                <w:bCs/>
                <w:sz w:val="21"/>
                <w:szCs w:val="21"/>
              </w:rPr>
              <w:t>流程说明</w:t>
            </w:r>
          </w:p>
        </w:tc>
        <w:tc>
          <w:tcPr>
            <w:tcW w:w="8527" w:type="dxa"/>
            <w:gridSpan w:val="4"/>
          </w:tcPr>
          <w:p>
            <w:pPr>
              <w:pStyle w:val="17"/>
              <w:ind w:left="0"/>
              <w:rPr>
                <w:rFonts w:ascii="微软雅黑" w:hAnsi="微软雅黑" w:eastAsia="微软雅黑" w:cs="微软雅黑"/>
              </w:rPr>
            </w:pPr>
            <w:r>
              <w:rPr>
                <w:rFonts w:hint="eastAsia" w:ascii="微软雅黑" w:hAnsi="微软雅黑" w:eastAsia="微软雅黑" w:cs="微软雅黑"/>
              </w:rPr>
              <w:t>对产品生产过程中实际发生的成本进行汇总统计，依据物料出库单进行直接材料费成本统计，依据车间加工情况进行工时统计，主要成本项包括发生工时，直接材料费，机务料消耗，直接人工费，水电费，固定资产折旧费，其它费用。</w:t>
            </w:r>
            <w:r>
              <w:rPr>
                <w:rFonts w:hint="eastAsia" w:ascii="微软雅黑" w:hAnsi="微软雅黑" w:eastAsia="微软雅黑" w:cs="微软雅黑"/>
                <w:color w:val="FF0000"/>
              </w:rPr>
              <w:t>（线边库物料无定额，暂估金额需要与财务详细讨论）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pPr>
              <w:pStyle w:val="17"/>
              <w:ind w:left="0"/>
              <w:jc w:val="center"/>
              <w:rPr>
                <w:rFonts w:ascii="微软雅黑" w:hAnsi="微软雅黑" w:eastAsia="微软雅黑" w:cs="微软雅黑"/>
              </w:rPr>
            </w:pPr>
            <w:r>
              <w:rPr>
                <w:rFonts w:hint="eastAsia" w:ascii="微软雅黑" w:hAnsi="微软雅黑" w:eastAsia="微软雅黑" w:cs="微软雅黑"/>
              </w:rPr>
              <w:object>
                <v:shape id="_x0000_i1090" o:spt="75" type="#_x0000_t75" style="height:273.75pt;width:452.25pt;" o:ole="t" filled="f" o:preferrelative="t" stroked="f" coordsize="21600,21600">
                  <v:path/>
                  <v:fill on="f" focussize="0,0"/>
                  <v:stroke on="f" joinstyle="miter"/>
                  <v:imagedata r:id="rId195" o:title=""/>
                  <o:lock v:ext="edit" aspectratio="f"/>
                  <w10:wrap type="none"/>
                  <w10:anchorlock/>
                </v:shape>
                <o:OLEObject Type="Embed" ProgID="Visio.Drawing.11" ShapeID="_x0000_i1090" DrawAspect="Content" ObjectID="_1468075790" r:id="rId194">
                  <o:LockedField>false</o:LockedField>
                </o:OLEObject>
              </w:object>
            </w:r>
          </w:p>
        </w:tc>
      </w:tr>
    </w:tbl>
    <w:p>
      <w:pPr>
        <w:rPr>
          <w:lang w:val="zh-CN"/>
        </w:rPr>
      </w:pPr>
    </w:p>
    <w:p>
      <w:pPr>
        <w:pStyle w:val="5"/>
        <w:rPr>
          <w:rFonts w:ascii="微软雅黑" w:hAnsi="微软雅黑" w:eastAsia="微软雅黑"/>
        </w:rPr>
      </w:pPr>
      <w:bookmarkStart w:id="100" w:name="_Toc508831164"/>
      <w:r>
        <w:rPr>
          <w:rFonts w:hint="eastAsia" w:ascii="微软雅黑" w:hAnsi="微软雅黑" w:eastAsia="微软雅黑"/>
        </w:rPr>
        <w:t>2.2.11.2功能模块</w:t>
      </w:r>
      <w:bookmarkEnd w:id="100"/>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2.2.11.2.1核算项目维护管理</w:t>
      </w:r>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此模块主要对产品生产过程中实际发生的成本进行汇总统计，主要成本项包括发生工时，直接材料费，机务料消耗，直接人工费，水电费，固定资产折旧费，其它费用。关键属性项：销售合同号，产品编码，产品名称，产品图号，销售合同价格，实际总成本，发生工时，直接材料费，机务料消耗，直接人工费，水电费，固定资产折旧费，其它费用。</w:t>
      </w:r>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该模块包含的系统操作主要有：</w:t>
      </w:r>
    </w:p>
    <w:p>
      <w:pPr>
        <w:numPr>
          <w:ilvl w:val="0"/>
          <w:numId w:val="41"/>
        </w:numPr>
        <w:ind w:firstLine="480" w:firstLineChars="200"/>
        <w:rPr>
          <w:rFonts w:ascii="微软雅黑" w:hAnsi="微软雅黑" w:eastAsia="微软雅黑" w:cs="微软雅黑"/>
          <w:sz w:val="24"/>
          <w:szCs w:val="24"/>
        </w:rPr>
      </w:pPr>
      <w:r>
        <w:rPr>
          <w:rFonts w:hint="eastAsia" w:ascii="微软雅黑" w:hAnsi="微软雅黑" w:eastAsia="微软雅黑" w:cs="宋体"/>
          <w:b/>
          <w:bCs/>
          <w:sz w:val="24"/>
        </w:rPr>
        <w:t>新增：</w:t>
      </w:r>
      <w:r>
        <w:rPr>
          <w:rFonts w:hint="eastAsia" w:ascii="微软雅黑" w:hAnsi="微软雅黑" w:eastAsia="微软雅黑"/>
          <w:sz w:val="22"/>
          <w:szCs w:val="24"/>
        </w:rPr>
        <w:t>点击“新增”按钮，生成当月核算项目</w:t>
      </w:r>
    </w:p>
    <w:p>
      <w:pPr>
        <w:numPr>
          <w:ilvl w:val="0"/>
          <w:numId w:val="41"/>
        </w:numPr>
        <w:ind w:firstLine="480" w:firstLineChars="200"/>
        <w:rPr>
          <w:rFonts w:ascii="微软雅黑" w:hAnsi="微软雅黑" w:eastAsia="微软雅黑" w:cs="微软雅黑"/>
          <w:sz w:val="24"/>
          <w:szCs w:val="24"/>
        </w:rPr>
      </w:pPr>
      <w:r>
        <w:rPr>
          <w:rFonts w:hint="eastAsia" w:ascii="微软雅黑" w:hAnsi="微软雅黑" w:eastAsia="微软雅黑" w:cs="宋体"/>
          <w:b/>
          <w:bCs/>
          <w:sz w:val="24"/>
        </w:rPr>
        <w:t>核算工作令：</w:t>
      </w:r>
      <w:r>
        <w:rPr>
          <w:rFonts w:hint="eastAsia" w:ascii="微软雅黑" w:hAnsi="微软雅黑" w:eastAsia="微软雅黑"/>
          <w:sz w:val="22"/>
          <w:szCs w:val="24"/>
        </w:rPr>
        <w:t>选择核算项目，点击“核算工作令”按钮或红框中的年份</w:t>
      </w:r>
    </w:p>
    <w:p>
      <w:pPr>
        <w:numPr>
          <w:ilvl w:val="0"/>
          <w:numId w:val="41"/>
        </w:numPr>
        <w:ind w:firstLine="480" w:firstLineChars="200"/>
        <w:rPr>
          <w:rFonts w:ascii="微软雅黑" w:hAnsi="微软雅黑" w:eastAsia="微软雅黑" w:cs="微软雅黑"/>
          <w:sz w:val="24"/>
          <w:szCs w:val="24"/>
        </w:rPr>
      </w:pPr>
      <w:r>
        <w:rPr>
          <w:rFonts w:hint="eastAsia" w:ascii="微软雅黑" w:hAnsi="微软雅黑" w:eastAsia="微软雅黑" w:cs="宋体"/>
          <w:b/>
          <w:bCs/>
          <w:sz w:val="24"/>
        </w:rPr>
        <w:t>获取工作令：</w:t>
      </w:r>
      <w:r>
        <w:rPr>
          <w:rFonts w:hint="eastAsia" w:ascii="微软雅黑" w:hAnsi="微软雅黑" w:eastAsia="微软雅黑"/>
          <w:sz w:val="22"/>
          <w:szCs w:val="24"/>
        </w:rPr>
        <w:t>进入核算工作令界面，点击“获取工作令”按钮</w:t>
      </w:r>
    </w:p>
    <w:p>
      <w:pPr>
        <w:numPr>
          <w:ilvl w:val="0"/>
          <w:numId w:val="41"/>
        </w:numPr>
        <w:ind w:firstLine="480" w:firstLineChars="200"/>
        <w:rPr>
          <w:rFonts w:ascii="微软雅黑" w:hAnsi="微软雅黑" w:eastAsia="微软雅黑" w:cs="微软雅黑"/>
          <w:sz w:val="24"/>
          <w:szCs w:val="24"/>
        </w:rPr>
      </w:pPr>
      <w:r>
        <w:rPr>
          <w:rFonts w:hint="eastAsia" w:ascii="微软雅黑" w:hAnsi="微软雅黑" w:eastAsia="微软雅黑" w:cs="宋体"/>
          <w:b/>
          <w:bCs/>
          <w:sz w:val="24"/>
        </w:rPr>
        <w:t>费用归集：</w:t>
      </w:r>
      <w:r>
        <w:rPr>
          <w:rFonts w:hint="eastAsia" w:ascii="微软雅黑" w:hAnsi="微软雅黑" w:eastAsia="微软雅黑"/>
          <w:sz w:val="22"/>
          <w:szCs w:val="24"/>
        </w:rPr>
        <w:t>点击“费用归集”按钮，系统自动进行费用自动归集</w:t>
      </w:r>
    </w:p>
    <w:p>
      <w:pPr>
        <w:numPr>
          <w:ilvl w:val="0"/>
          <w:numId w:val="41"/>
        </w:numPr>
        <w:ind w:firstLine="480" w:firstLineChars="200"/>
        <w:rPr>
          <w:rFonts w:ascii="微软雅黑" w:hAnsi="微软雅黑" w:eastAsia="微软雅黑" w:cs="微软雅黑"/>
          <w:sz w:val="24"/>
          <w:szCs w:val="24"/>
        </w:rPr>
      </w:pPr>
      <w:r>
        <w:rPr>
          <w:rFonts w:hint="eastAsia" w:ascii="微软雅黑" w:hAnsi="微软雅黑" w:eastAsia="微软雅黑" w:cs="宋体"/>
          <w:b/>
          <w:bCs/>
          <w:sz w:val="24"/>
        </w:rPr>
        <w:t>费用分摊：</w:t>
      </w:r>
      <w:r>
        <w:rPr>
          <w:rFonts w:hint="eastAsia" w:ascii="微软雅黑" w:hAnsi="微软雅黑" w:eastAsia="微软雅黑"/>
          <w:sz w:val="22"/>
          <w:szCs w:val="24"/>
        </w:rPr>
        <w:t>点击“费用分摊”按钮，分摊相应成本费用</w:t>
      </w:r>
    </w:p>
    <w:p>
      <w:pPr>
        <w:ind w:firstLine="420" w:firstLineChars="200"/>
      </w:pPr>
      <w:r>
        <w:rPr>
          <w:rFonts w:hint="eastAsia"/>
        </w:rPr>
        <w:t>第一步，点击“新增”按钮，生成当月核算项目（如图13-7）。</w:t>
      </w:r>
    </w:p>
    <w:p>
      <w:pPr>
        <w:ind w:firstLine="420" w:firstLineChars="200"/>
      </w:pPr>
      <w:r>
        <w:rPr>
          <w:rFonts w:hint="eastAsia"/>
        </w:rPr>
        <w:drawing>
          <wp:inline distT="0" distB="0" distL="0" distR="0">
            <wp:extent cx="5924550" cy="1562100"/>
            <wp:effectExtent l="1905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noChangeArrowheads="1"/>
                    </pic:cNvPicPr>
                  </pic:nvPicPr>
                  <pic:blipFill>
                    <a:blip r:embed="rId196" cstate="print"/>
                    <a:srcRect/>
                    <a:stretch>
                      <a:fillRect/>
                    </a:stretch>
                  </pic:blipFill>
                  <pic:spPr>
                    <a:xfrm>
                      <a:off x="0" y="0"/>
                      <a:ext cx="5924550" cy="1562100"/>
                    </a:xfrm>
                    <a:prstGeom prst="rect">
                      <a:avLst/>
                    </a:prstGeom>
                    <a:noFill/>
                    <a:ln w="9525" cmpd="sng">
                      <a:noFill/>
                      <a:miter lim="800000"/>
                      <a:headEnd/>
                      <a:tailEnd/>
                    </a:ln>
                  </pic:spPr>
                </pic:pic>
              </a:graphicData>
            </a:graphic>
          </wp:inline>
        </w:drawing>
      </w:r>
    </w:p>
    <w:p>
      <w:pPr>
        <w:ind w:firstLine="420" w:firstLineChars="200"/>
        <w:jc w:val="center"/>
      </w:pPr>
      <w:r>
        <w:rPr>
          <w:rFonts w:hint="eastAsia"/>
        </w:rPr>
        <w:t>图13-7</w:t>
      </w:r>
    </w:p>
    <w:p>
      <w:pPr>
        <w:ind w:firstLine="420" w:firstLineChars="200"/>
      </w:pPr>
      <w:r>
        <w:rPr>
          <w:rFonts w:hint="eastAsia"/>
        </w:rPr>
        <w:t>第二步，选择核算项目，点击“核算工作令”按钮或红框中的年份（如图13-8）；</w:t>
      </w:r>
    </w:p>
    <w:p>
      <w:pPr>
        <w:ind w:firstLine="420" w:firstLineChars="200"/>
      </w:pPr>
      <w:r>
        <w:rPr>
          <w:rFonts w:hint="eastAsia"/>
        </w:rPr>
        <w:drawing>
          <wp:inline distT="0" distB="0" distL="0" distR="0">
            <wp:extent cx="5924550" cy="1524000"/>
            <wp:effectExtent l="19050" t="0" r="0"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noChangeArrowheads="1"/>
                    </pic:cNvPicPr>
                  </pic:nvPicPr>
                  <pic:blipFill>
                    <a:blip r:embed="rId197" cstate="print"/>
                    <a:srcRect/>
                    <a:stretch>
                      <a:fillRect/>
                    </a:stretch>
                  </pic:blipFill>
                  <pic:spPr>
                    <a:xfrm>
                      <a:off x="0" y="0"/>
                      <a:ext cx="5924550" cy="1524000"/>
                    </a:xfrm>
                    <a:prstGeom prst="rect">
                      <a:avLst/>
                    </a:prstGeom>
                    <a:noFill/>
                    <a:ln w="9525" cmpd="sng">
                      <a:noFill/>
                      <a:miter lim="800000"/>
                      <a:headEnd/>
                      <a:tailEnd/>
                    </a:ln>
                  </pic:spPr>
                </pic:pic>
              </a:graphicData>
            </a:graphic>
          </wp:inline>
        </w:drawing>
      </w:r>
    </w:p>
    <w:p>
      <w:pPr>
        <w:ind w:firstLine="420" w:firstLineChars="200"/>
        <w:jc w:val="center"/>
      </w:pPr>
      <w:r>
        <w:rPr>
          <w:rFonts w:hint="eastAsia"/>
        </w:rPr>
        <w:t>图13-8</w:t>
      </w:r>
    </w:p>
    <w:p>
      <w:pPr>
        <w:ind w:firstLine="420" w:firstLineChars="200"/>
      </w:pPr>
      <w:r>
        <w:rPr>
          <w:rFonts w:hint="eastAsia"/>
        </w:rPr>
        <w:t>第三步，进入核算工作令界面（如图13-9），点击“获取工作令”按钮。</w:t>
      </w:r>
    </w:p>
    <w:p>
      <w:pPr>
        <w:ind w:firstLine="420" w:firstLineChars="200"/>
      </w:pPr>
      <w:r>
        <w:rPr>
          <w:rFonts w:hint="eastAsia"/>
        </w:rPr>
        <w:drawing>
          <wp:inline distT="0" distB="0" distL="0" distR="0">
            <wp:extent cx="5991225" cy="1562100"/>
            <wp:effectExtent l="19050" t="0" r="9525" b="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noChangeArrowheads="1"/>
                    </pic:cNvPicPr>
                  </pic:nvPicPr>
                  <pic:blipFill>
                    <a:blip r:embed="rId198" cstate="print"/>
                    <a:srcRect/>
                    <a:stretch>
                      <a:fillRect/>
                    </a:stretch>
                  </pic:blipFill>
                  <pic:spPr>
                    <a:xfrm>
                      <a:off x="0" y="0"/>
                      <a:ext cx="5991225" cy="1562100"/>
                    </a:xfrm>
                    <a:prstGeom prst="rect">
                      <a:avLst/>
                    </a:prstGeom>
                    <a:noFill/>
                    <a:ln w="9525" cmpd="sng">
                      <a:noFill/>
                      <a:miter lim="800000"/>
                      <a:headEnd/>
                      <a:tailEnd/>
                    </a:ln>
                  </pic:spPr>
                </pic:pic>
              </a:graphicData>
            </a:graphic>
          </wp:inline>
        </w:drawing>
      </w:r>
    </w:p>
    <w:p>
      <w:pPr>
        <w:ind w:firstLine="420" w:firstLineChars="200"/>
        <w:jc w:val="center"/>
      </w:pPr>
      <w:r>
        <w:rPr>
          <w:rFonts w:hint="eastAsia"/>
        </w:rPr>
        <w:t>图13-9</w:t>
      </w:r>
    </w:p>
    <w:p>
      <w:pPr>
        <w:ind w:firstLine="420" w:firstLineChars="200"/>
      </w:pPr>
      <w:r>
        <w:rPr>
          <w:rFonts w:hint="eastAsia"/>
        </w:rPr>
        <w:t>第四步，点击“费用归集”按钮（如图13-10）。</w:t>
      </w:r>
    </w:p>
    <w:p>
      <w:pPr>
        <w:ind w:firstLine="420" w:firstLineChars="200"/>
      </w:pPr>
      <w:r>
        <w:rPr>
          <w:rFonts w:hint="eastAsia"/>
        </w:rPr>
        <w:drawing>
          <wp:inline distT="0" distB="0" distL="0" distR="0">
            <wp:extent cx="6048375" cy="1762125"/>
            <wp:effectExtent l="19050" t="0" r="9525" b="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noChangeArrowheads="1"/>
                    </pic:cNvPicPr>
                  </pic:nvPicPr>
                  <pic:blipFill>
                    <a:blip r:embed="rId199" cstate="print"/>
                    <a:srcRect/>
                    <a:stretch>
                      <a:fillRect/>
                    </a:stretch>
                  </pic:blipFill>
                  <pic:spPr>
                    <a:xfrm>
                      <a:off x="0" y="0"/>
                      <a:ext cx="6048375" cy="1762125"/>
                    </a:xfrm>
                    <a:prstGeom prst="rect">
                      <a:avLst/>
                    </a:prstGeom>
                    <a:noFill/>
                    <a:ln w="9525" cmpd="sng">
                      <a:noFill/>
                      <a:miter lim="800000"/>
                      <a:headEnd/>
                      <a:tailEnd/>
                    </a:ln>
                  </pic:spPr>
                </pic:pic>
              </a:graphicData>
            </a:graphic>
          </wp:inline>
        </w:drawing>
      </w:r>
    </w:p>
    <w:p>
      <w:pPr>
        <w:ind w:firstLine="420" w:firstLineChars="200"/>
        <w:jc w:val="center"/>
      </w:pPr>
      <w:r>
        <w:rPr>
          <w:rFonts w:hint="eastAsia"/>
        </w:rPr>
        <w:t>图13-10</w:t>
      </w:r>
    </w:p>
    <w:p>
      <w:pPr>
        <w:ind w:firstLine="420" w:firstLineChars="200"/>
      </w:pPr>
      <w:r>
        <w:rPr>
          <w:rFonts w:hint="eastAsia"/>
        </w:rPr>
        <w:t>第五步，在归集项目界面（如图13-11），勾选所要归集的项目，点击“归集”按钮。</w:t>
      </w:r>
    </w:p>
    <w:p>
      <w:pPr>
        <w:ind w:firstLine="420" w:firstLineChars="200"/>
        <w:jc w:val="center"/>
      </w:pPr>
      <w:r>
        <w:rPr>
          <w:rFonts w:hint="eastAsia"/>
        </w:rPr>
        <w:drawing>
          <wp:inline distT="0" distB="0" distL="0" distR="0">
            <wp:extent cx="1733550" cy="2362200"/>
            <wp:effectExtent l="19050" t="0" r="0" b="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noChangeArrowheads="1"/>
                    </pic:cNvPicPr>
                  </pic:nvPicPr>
                  <pic:blipFill>
                    <a:blip r:embed="rId200" cstate="print"/>
                    <a:srcRect/>
                    <a:stretch>
                      <a:fillRect/>
                    </a:stretch>
                  </pic:blipFill>
                  <pic:spPr>
                    <a:xfrm>
                      <a:off x="0" y="0"/>
                      <a:ext cx="1733550" cy="2362200"/>
                    </a:xfrm>
                    <a:prstGeom prst="rect">
                      <a:avLst/>
                    </a:prstGeom>
                    <a:noFill/>
                    <a:ln w="9525" cmpd="sng">
                      <a:noFill/>
                      <a:miter lim="800000"/>
                      <a:headEnd/>
                      <a:tailEnd/>
                    </a:ln>
                  </pic:spPr>
                </pic:pic>
              </a:graphicData>
            </a:graphic>
          </wp:inline>
        </w:drawing>
      </w:r>
    </w:p>
    <w:p>
      <w:pPr>
        <w:ind w:firstLine="420" w:firstLineChars="200"/>
        <w:jc w:val="center"/>
      </w:pPr>
      <w:r>
        <w:rPr>
          <w:rFonts w:hint="eastAsia"/>
        </w:rPr>
        <w:t>图13-11</w:t>
      </w:r>
    </w:p>
    <w:p>
      <w:pPr>
        <w:ind w:firstLine="420" w:firstLineChars="200"/>
      </w:pPr>
      <w:r>
        <w:rPr>
          <w:rFonts w:hint="eastAsia"/>
        </w:rPr>
        <w:t>第六步，点击“费用分摊”按钮（如图13-12）。</w:t>
      </w:r>
    </w:p>
    <w:p>
      <w:pPr>
        <w:ind w:firstLine="420" w:firstLineChars="200"/>
      </w:pPr>
      <w:r>
        <w:rPr>
          <w:rFonts w:hint="eastAsia"/>
        </w:rPr>
        <w:drawing>
          <wp:inline distT="0" distB="0" distL="0" distR="0">
            <wp:extent cx="6096000" cy="1714500"/>
            <wp:effectExtent l="19050" t="0" r="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noChangeArrowheads="1"/>
                    </pic:cNvPicPr>
                  </pic:nvPicPr>
                  <pic:blipFill>
                    <a:blip r:embed="rId201" cstate="print"/>
                    <a:srcRect/>
                    <a:stretch>
                      <a:fillRect/>
                    </a:stretch>
                  </pic:blipFill>
                  <pic:spPr>
                    <a:xfrm>
                      <a:off x="0" y="0"/>
                      <a:ext cx="6096000" cy="1714500"/>
                    </a:xfrm>
                    <a:prstGeom prst="rect">
                      <a:avLst/>
                    </a:prstGeom>
                    <a:noFill/>
                    <a:ln w="9525" cmpd="sng">
                      <a:noFill/>
                      <a:miter lim="800000"/>
                      <a:headEnd/>
                      <a:tailEnd/>
                    </a:ln>
                  </pic:spPr>
                </pic:pic>
              </a:graphicData>
            </a:graphic>
          </wp:inline>
        </w:drawing>
      </w:r>
    </w:p>
    <w:p>
      <w:pPr>
        <w:ind w:firstLine="420" w:firstLineChars="200"/>
        <w:jc w:val="center"/>
      </w:pPr>
      <w:r>
        <w:rPr>
          <w:rFonts w:hint="eastAsia"/>
        </w:rPr>
        <w:t>图13-12</w:t>
      </w:r>
    </w:p>
    <w:p>
      <w:pPr>
        <w:ind w:firstLine="420" w:firstLineChars="200"/>
      </w:pPr>
      <w:r>
        <w:rPr>
          <w:rFonts w:hint="eastAsia"/>
        </w:rPr>
        <w:t>第七步，跳转到费用分摊维护界面（如图13-13），填写相关费用后点击“确认”按钮。</w:t>
      </w:r>
    </w:p>
    <w:p>
      <w:pPr>
        <w:ind w:firstLine="420" w:firstLineChars="200"/>
        <w:jc w:val="center"/>
      </w:pPr>
      <w:r>
        <w:rPr>
          <w:rFonts w:hint="eastAsia"/>
        </w:rPr>
        <w:drawing>
          <wp:inline distT="0" distB="0" distL="0" distR="0">
            <wp:extent cx="3876675" cy="3019425"/>
            <wp:effectExtent l="19050" t="0" r="9525" b="0"/>
            <wp:docPr id="4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8"/>
                    <pic:cNvPicPr>
                      <a:picLocks noChangeAspect="1" noChangeArrowheads="1"/>
                    </pic:cNvPicPr>
                  </pic:nvPicPr>
                  <pic:blipFill>
                    <a:blip r:embed="rId202" cstate="print"/>
                    <a:srcRect/>
                    <a:stretch>
                      <a:fillRect/>
                    </a:stretch>
                  </pic:blipFill>
                  <pic:spPr>
                    <a:xfrm>
                      <a:off x="0" y="0"/>
                      <a:ext cx="3876675" cy="3019425"/>
                    </a:xfrm>
                    <a:prstGeom prst="rect">
                      <a:avLst/>
                    </a:prstGeom>
                    <a:noFill/>
                    <a:ln w="9525" cmpd="sng">
                      <a:noFill/>
                      <a:miter lim="800000"/>
                      <a:headEnd/>
                      <a:tailEnd/>
                    </a:ln>
                  </pic:spPr>
                </pic:pic>
              </a:graphicData>
            </a:graphic>
          </wp:inline>
        </w:drawing>
      </w:r>
    </w:p>
    <w:p>
      <w:pPr>
        <w:ind w:firstLine="420" w:firstLineChars="200"/>
        <w:jc w:val="center"/>
      </w:pPr>
      <w:r>
        <w:rPr>
          <w:rFonts w:hint="eastAsia"/>
        </w:rPr>
        <w:t>图13-13</w:t>
      </w:r>
    </w:p>
    <w:p>
      <w:pPr>
        <w:rPr>
          <w:rFonts w:ascii="微软雅黑" w:hAnsi="微软雅黑" w:eastAsia="微软雅黑" w:cs="微软雅黑"/>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2.2.11.2.2核算项目结转</w:t>
      </w:r>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此模块主要用于财务部门对产品实际成本进行审核，核对月度总发生成本及订货产品总成本。</w:t>
      </w:r>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本模块包含的系统操作主要有：</w:t>
      </w:r>
    </w:p>
    <w:p>
      <w:pPr>
        <w:ind w:firstLine="480" w:firstLineChars="200"/>
        <w:rPr>
          <w:rFonts w:ascii="微软雅黑" w:hAnsi="微软雅黑" w:eastAsia="微软雅黑" w:cs="微软雅黑"/>
          <w:sz w:val="24"/>
          <w:szCs w:val="24"/>
        </w:rPr>
      </w:pPr>
      <w:r>
        <w:rPr>
          <w:rFonts w:hint="eastAsia" w:ascii="微软雅黑" w:hAnsi="微软雅黑" w:eastAsia="微软雅黑" w:cs="宋体"/>
          <w:b/>
          <w:sz w:val="24"/>
          <w:szCs w:val="24"/>
        </w:rPr>
        <w:t>结转：</w:t>
      </w:r>
      <w:r>
        <w:rPr>
          <w:rFonts w:hint="eastAsia" w:ascii="微软雅黑" w:hAnsi="微软雅黑" w:eastAsia="微软雅黑" w:cs="宋体"/>
          <w:sz w:val="24"/>
          <w:szCs w:val="24"/>
        </w:rPr>
        <w:t>选择的核算项目，点击“结转”按钮完成结转操作</w:t>
      </w:r>
    </w:p>
    <w:p>
      <w:pPr>
        <w:rPr>
          <w:rFonts w:ascii="微软雅黑" w:hAnsi="微软雅黑" w:eastAsia="微软雅黑" w:cs="微软雅黑"/>
        </w:rPr>
      </w:pPr>
      <w:r>
        <w:rPr>
          <w:rFonts w:hint="eastAsia" w:ascii="宋体" w:hAnsi="宋体" w:eastAsia="宋体" w:cs="宋体"/>
        </w:rPr>
        <w:drawing>
          <wp:inline distT="0" distB="0" distL="0" distR="0">
            <wp:extent cx="6300470" cy="1449705"/>
            <wp:effectExtent l="19050" t="0" r="5080" b="0"/>
            <wp:docPr id="5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6"/>
                    <pic:cNvPicPr>
                      <a:picLocks noChangeAspect="1" noChangeArrowheads="1"/>
                    </pic:cNvPicPr>
                  </pic:nvPicPr>
                  <pic:blipFill>
                    <a:blip r:embed="rId203" cstate="print"/>
                    <a:srcRect/>
                    <a:stretch>
                      <a:fillRect/>
                    </a:stretch>
                  </pic:blipFill>
                  <pic:spPr>
                    <a:xfrm>
                      <a:off x="0" y="0"/>
                      <a:ext cx="6300470" cy="1449824"/>
                    </a:xfrm>
                    <a:prstGeom prst="rect">
                      <a:avLst/>
                    </a:prstGeom>
                    <a:noFill/>
                    <a:ln w="9525" cmpd="sng">
                      <a:noFill/>
                      <a:miter lim="800000"/>
                      <a:headEnd/>
                      <a:tailEnd/>
                    </a:ln>
                  </pic:spPr>
                </pic:pic>
              </a:graphicData>
            </a:graphic>
          </wp:inline>
        </w:drawing>
      </w:r>
    </w:p>
    <w:p>
      <w:pPr>
        <w:jc w:val="center"/>
        <w:rPr>
          <w:rFonts w:ascii="微软雅黑" w:hAnsi="微软雅黑" w:eastAsia="微软雅黑" w:cs="微软雅黑"/>
          <w:sz w:val="24"/>
          <w:szCs w:val="24"/>
        </w:rPr>
      </w:pPr>
      <w:r>
        <w:rPr>
          <w:rFonts w:hint="eastAsia" w:ascii="微软雅黑" w:hAnsi="微软雅黑" w:eastAsia="微软雅黑" w:cs="微软雅黑"/>
          <w:sz w:val="24"/>
          <w:szCs w:val="24"/>
        </w:rPr>
        <w:t>（核算项目结转参考界面）</w:t>
      </w:r>
    </w:p>
    <w:p>
      <w:pPr>
        <w:jc w:val="center"/>
        <w:rPr>
          <w:rFonts w:ascii="微软雅黑" w:hAnsi="微软雅黑" w:eastAsia="微软雅黑" w:cs="微软雅黑"/>
          <w:sz w:val="24"/>
          <w:szCs w:val="24"/>
        </w:rPr>
      </w:pPr>
    </w:p>
    <w:p>
      <w:pPr>
        <w:pStyle w:val="6"/>
        <w:keepNext w:val="0"/>
        <w:keepLines w:val="0"/>
        <w:widowControl/>
        <w:numPr>
          <w:ilvl w:val="4"/>
          <w:numId w:val="0"/>
        </w:numPr>
        <w:tabs>
          <w:tab w:val="left" w:pos="1008"/>
        </w:tabs>
        <w:overflowPunct w:val="0"/>
        <w:autoSpaceDE w:val="0"/>
        <w:autoSpaceDN w:val="0"/>
        <w:adjustRightInd w:val="0"/>
        <w:spacing w:before="0" w:after="0" w:line="360" w:lineRule="auto"/>
        <w:ind w:left="1008" w:hanging="1008"/>
        <w:textAlignment w:val="baseline"/>
        <w:rPr>
          <w:rFonts w:ascii="微软雅黑" w:hAnsi="微软雅黑" w:eastAsia="微软雅黑"/>
        </w:rPr>
      </w:pPr>
      <w:r>
        <w:rPr>
          <w:rFonts w:hint="eastAsia" w:ascii="微软雅黑" w:hAnsi="微软雅黑" w:eastAsia="微软雅黑"/>
        </w:rPr>
        <w:t>2.2.11.2.3实际成本查询</w:t>
      </w:r>
    </w:p>
    <w:p>
      <w:pPr>
        <w:ind w:firstLine="600" w:firstLineChars="250"/>
        <w:rPr>
          <w:sz w:val="24"/>
          <w:szCs w:val="24"/>
          <w:lang w:val="zh-CN"/>
        </w:rPr>
      </w:pPr>
      <w:r>
        <w:rPr>
          <w:rFonts w:hint="eastAsia" w:ascii="微软雅黑" w:hAnsi="微软雅黑" w:eastAsia="微软雅黑" w:cs="微软雅黑"/>
          <w:sz w:val="24"/>
          <w:szCs w:val="24"/>
        </w:rPr>
        <w:t>此模块主要用于按月度查看本月实际发生总成本及各成本核算项目所发生的实际成本，按订货产品查看其总成本及各成本核算项目所发生的实际成本。</w:t>
      </w:r>
    </w:p>
    <w:p>
      <w:pPr>
        <w:rPr>
          <w:lang w:val="zh-CN"/>
        </w:rPr>
      </w:pPr>
      <w:r>
        <w:drawing>
          <wp:inline distT="0" distB="0" distL="0" distR="0">
            <wp:extent cx="6300470" cy="2522220"/>
            <wp:effectExtent l="19050" t="0" r="508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204" cstate="print"/>
                    <a:srcRect/>
                    <a:stretch>
                      <a:fillRect/>
                    </a:stretch>
                  </pic:blipFill>
                  <pic:spPr>
                    <a:xfrm>
                      <a:off x="0" y="0"/>
                      <a:ext cx="6300470" cy="2522362"/>
                    </a:xfrm>
                    <a:prstGeom prst="rect">
                      <a:avLst/>
                    </a:prstGeom>
                    <a:noFill/>
                    <a:ln w="9525">
                      <a:noFill/>
                      <a:miter lim="800000"/>
                      <a:headEnd/>
                      <a:tailEnd/>
                    </a:ln>
                  </pic:spPr>
                </pic:pic>
              </a:graphicData>
            </a:graphic>
          </wp:inline>
        </w:drawing>
      </w:r>
    </w:p>
    <w:p>
      <w:pPr>
        <w:jc w:val="center"/>
        <w:rPr>
          <w:rFonts w:ascii="微软雅黑" w:hAnsi="微软雅黑" w:eastAsia="微软雅黑"/>
          <w:sz w:val="24"/>
          <w:szCs w:val="24"/>
          <w:lang w:val="zh-CN"/>
        </w:rPr>
      </w:pPr>
      <w:r>
        <w:rPr>
          <w:rFonts w:hint="eastAsia" w:ascii="微软雅黑" w:hAnsi="微软雅黑" w:eastAsia="微软雅黑"/>
          <w:sz w:val="24"/>
          <w:szCs w:val="24"/>
          <w:lang w:val="zh-CN"/>
        </w:rPr>
        <w:t>（实际成本查询参考界面）</w:t>
      </w:r>
      <w:r>
        <w:rPr>
          <w:rFonts w:ascii="微软雅黑" w:hAnsi="微软雅黑" w:eastAsia="微软雅黑" w:cs="微软雅黑"/>
          <w:szCs w:val="28"/>
        </w:rPr>
        <w:br w:type="page"/>
      </w:r>
    </w:p>
    <w:p>
      <w:pPr>
        <w:pStyle w:val="2"/>
        <w:spacing w:before="160" w:after="160" w:line="480" w:lineRule="auto"/>
        <w:rPr>
          <w:rFonts w:ascii="微软雅黑" w:hAnsi="微软雅黑" w:eastAsia="微软雅黑" w:cs="微软雅黑"/>
          <w:sz w:val="36"/>
          <w:szCs w:val="36"/>
        </w:rPr>
      </w:pPr>
      <w:bookmarkStart w:id="101" w:name="_Toc508831165"/>
      <w:r>
        <w:rPr>
          <w:rFonts w:hint="eastAsia" w:ascii="微软雅黑" w:hAnsi="微软雅黑" w:eastAsia="微软雅黑" w:cs="微软雅黑"/>
          <w:sz w:val="36"/>
          <w:szCs w:val="36"/>
        </w:rPr>
        <w:t>3.整体计划</w:t>
      </w:r>
      <w:bookmarkEnd w:id="101"/>
    </w:p>
    <w:tbl>
      <w:tblPr>
        <w:tblStyle w:val="37"/>
        <w:tblW w:w="10138" w:type="dxa"/>
        <w:jc w:val="center"/>
        <w:tblLayout w:type="fixed"/>
        <w:tblCellMar>
          <w:top w:w="0" w:type="dxa"/>
          <w:left w:w="108" w:type="dxa"/>
          <w:bottom w:w="0" w:type="dxa"/>
          <w:right w:w="108" w:type="dxa"/>
        </w:tblCellMar>
      </w:tblPr>
      <w:tblGrid>
        <w:gridCol w:w="616"/>
        <w:gridCol w:w="416"/>
        <w:gridCol w:w="3616"/>
        <w:gridCol w:w="1392"/>
        <w:gridCol w:w="1392"/>
        <w:gridCol w:w="1616"/>
        <w:gridCol w:w="1090"/>
      </w:tblGrid>
      <w:tr>
        <w:tblPrEx>
          <w:tblCellMar>
            <w:top w:w="0" w:type="dxa"/>
            <w:left w:w="108" w:type="dxa"/>
            <w:bottom w:w="0" w:type="dxa"/>
            <w:right w:w="108" w:type="dxa"/>
          </w:tblCellMar>
        </w:tblPrEx>
        <w:trPr>
          <w:trHeight w:val="660" w:hRule="atLeast"/>
          <w:jc w:val="center"/>
        </w:trPr>
        <w:tc>
          <w:tcPr>
            <w:tcW w:w="616" w:type="dxa"/>
            <w:tcBorders>
              <w:top w:val="single" w:color="auto" w:sz="4" w:space="0"/>
              <w:left w:val="single" w:color="auto" w:sz="4" w:space="0"/>
              <w:bottom w:val="single" w:color="auto" w:sz="4" w:space="0"/>
              <w:right w:val="single" w:color="auto" w:sz="4" w:space="0"/>
            </w:tcBorders>
            <w:shd w:val="clear" w:color="000000" w:fill="CCFFFF"/>
            <w:vAlign w:val="center"/>
          </w:tcPr>
          <w:p>
            <w:pPr>
              <w:widowControl/>
              <w:snapToGrid w:val="0"/>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序号</w:t>
            </w:r>
          </w:p>
        </w:tc>
        <w:tc>
          <w:tcPr>
            <w:tcW w:w="416" w:type="dxa"/>
            <w:tcBorders>
              <w:top w:val="single" w:color="auto" w:sz="4" w:space="0"/>
              <w:left w:val="nil"/>
              <w:bottom w:val="single" w:color="auto" w:sz="4" w:space="0"/>
              <w:right w:val="single" w:color="auto" w:sz="4" w:space="0"/>
            </w:tcBorders>
            <w:shd w:val="clear" w:color="000000" w:fill="CCFFFF"/>
            <w:vAlign w:val="center"/>
          </w:tcPr>
          <w:p>
            <w:pPr>
              <w:widowControl/>
              <w:snapToGrid w:val="0"/>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实施</w:t>
            </w:r>
            <w:r>
              <w:rPr>
                <w:rFonts w:hint="eastAsia" w:ascii="微软雅黑" w:hAnsi="微软雅黑" w:eastAsia="微软雅黑" w:cs="宋体"/>
                <w:b/>
                <w:bCs/>
                <w:kern w:val="0"/>
                <w:sz w:val="20"/>
                <w:szCs w:val="20"/>
              </w:rPr>
              <w:br w:type="textWrapping"/>
            </w:r>
            <w:r>
              <w:rPr>
                <w:rFonts w:hint="eastAsia" w:ascii="微软雅黑" w:hAnsi="微软雅黑" w:eastAsia="微软雅黑" w:cs="宋体"/>
                <w:b/>
                <w:bCs/>
                <w:kern w:val="0"/>
                <w:sz w:val="20"/>
                <w:szCs w:val="20"/>
              </w:rPr>
              <w:t>单位</w:t>
            </w:r>
          </w:p>
        </w:tc>
        <w:tc>
          <w:tcPr>
            <w:tcW w:w="3616" w:type="dxa"/>
            <w:tcBorders>
              <w:top w:val="single" w:color="auto" w:sz="4" w:space="0"/>
              <w:left w:val="nil"/>
              <w:bottom w:val="single" w:color="auto" w:sz="4" w:space="0"/>
              <w:right w:val="single" w:color="auto" w:sz="4" w:space="0"/>
            </w:tcBorders>
            <w:shd w:val="clear" w:color="000000" w:fill="CCFFFF"/>
            <w:vAlign w:val="center"/>
          </w:tcPr>
          <w:p>
            <w:pPr>
              <w:widowControl/>
              <w:snapToGrid w:val="0"/>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模块/工作项</w:t>
            </w:r>
          </w:p>
        </w:tc>
        <w:tc>
          <w:tcPr>
            <w:tcW w:w="1392" w:type="dxa"/>
            <w:tcBorders>
              <w:top w:val="single" w:color="auto" w:sz="4" w:space="0"/>
              <w:left w:val="nil"/>
              <w:bottom w:val="single" w:color="auto" w:sz="4" w:space="0"/>
              <w:right w:val="single" w:color="auto" w:sz="4" w:space="0"/>
            </w:tcBorders>
            <w:shd w:val="clear" w:color="000000" w:fill="CCFFFF"/>
            <w:vAlign w:val="center"/>
          </w:tcPr>
          <w:p>
            <w:pPr>
              <w:widowControl/>
              <w:snapToGrid w:val="0"/>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计划</w:t>
            </w:r>
            <w:r>
              <w:rPr>
                <w:rFonts w:hint="eastAsia" w:ascii="微软雅黑" w:hAnsi="微软雅黑" w:eastAsia="微软雅黑" w:cs="宋体"/>
                <w:b/>
                <w:bCs/>
                <w:kern w:val="0"/>
                <w:sz w:val="20"/>
                <w:szCs w:val="20"/>
              </w:rPr>
              <w:br w:type="textWrapping"/>
            </w:r>
            <w:r>
              <w:rPr>
                <w:rFonts w:hint="eastAsia" w:ascii="微软雅黑" w:hAnsi="微软雅黑" w:eastAsia="微软雅黑" w:cs="宋体"/>
                <w:b/>
                <w:bCs/>
                <w:kern w:val="0"/>
                <w:sz w:val="20"/>
                <w:szCs w:val="20"/>
              </w:rPr>
              <w:t>开始时间</w:t>
            </w:r>
          </w:p>
        </w:tc>
        <w:tc>
          <w:tcPr>
            <w:tcW w:w="1392" w:type="dxa"/>
            <w:tcBorders>
              <w:top w:val="single" w:color="auto" w:sz="4" w:space="0"/>
              <w:left w:val="nil"/>
              <w:bottom w:val="single" w:color="auto" w:sz="4" w:space="0"/>
              <w:right w:val="single" w:color="auto" w:sz="4" w:space="0"/>
            </w:tcBorders>
            <w:shd w:val="clear" w:color="000000" w:fill="CCFFFF"/>
            <w:vAlign w:val="center"/>
          </w:tcPr>
          <w:p>
            <w:pPr>
              <w:widowControl/>
              <w:snapToGrid w:val="0"/>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计划</w:t>
            </w:r>
            <w:r>
              <w:rPr>
                <w:rFonts w:hint="eastAsia" w:ascii="微软雅黑" w:hAnsi="微软雅黑" w:eastAsia="微软雅黑" w:cs="宋体"/>
                <w:b/>
                <w:bCs/>
                <w:kern w:val="0"/>
                <w:sz w:val="20"/>
                <w:szCs w:val="20"/>
              </w:rPr>
              <w:br w:type="textWrapping"/>
            </w:r>
            <w:r>
              <w:rPr>
                <w:rFonts w:hint="eastAsia" w:ascii="微软雅黑" w:hAnsi="微软雅黑" w:eastAsia="微软雅黑" w:cs="宋体"/>
                <w:b/>
                <w:bCs/>
                <w:kern w:val="0"/>
                <w:sz w:val="20"/>
                <w:szCs w:val="20"/>
              </w:rPr>
              <w:t>完成时间</w:t>
            </w:r>
          </w:p>
        </w:tc>
        <w:tc>
          <w:tcPr>
            <w:tcW w:w="1616" w:type="dxa"/>
            <w:tcBorders>
              <w:top w:val="single" w:color="auto" w:sz="4" w:space="0"/>
              <w:left w:val="nil"/>
              <w:bottom w:val="single" w:color="auto" w:sz="4" w:space="0"/>
              <w:right w:val="single" w:color="auto" w:sz="4" w:space="0"/>
            </w:tcBorders>
            <w:shd w:val="clear" w:color="000000" w:fill="CCFFFF"/>
            <w:vAlign w:val="center"/>
          </w:tcPr>
          <w:p>
            <w:pPr>
              <w:widowControl/>
              <w:snapToGrid w:val="0"/>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人员</w:t>
            </w:r>
          </w:p>
        </w:tc>
        <w:tc>
          <w:tcPr>
            <w:tcW w:w="1090" w:type="dxa"/>
            <w:tcBorders>
              <w:top w:val="single" w:color="auto" w:sz="4" w:space="0"/>
              <w:left w:val="nil"/>
              <w:bottom w:val="single" w:color="auto" w:sz="4" w:space="0"/>
              <w:right w:val="single" w:color="auto" w:sz="4" w:space="0"/>
            </w:tcBorders>
            <w:shd w:val="clear" w:color="000000" w:fill="CCFFFF"/>
            <w:vAlign w:val="center"/>
          </w:tcPr>
          <w:p>
            <w:pPr>
              <w:widowControl/>
              <w:snapToGrid w:val="0"/>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中信重工</w:t>
            </w:r>
            <w:r>
              <w:rPr>
                <w:rFonts w:hint="eastAsia" w:ascii="微软雅黑" w:hAnsi="微软雅黑" w:eastAsia="微软雅黑" w:cs="宋体"/>
                <w:b/>
                <w:bCs/>
                <w:kern w:val="0"/>
                <w:sz w:val="20"/>
                <w:szCs w:val="20"/>
              </w:rPr>
              <w:br w:type="textWrapping"/>
            </w:r>
            <w:r>
              <w:rPr>
                <w:rFonts w:hint="eastAsia" w:ascii="微软雅黑" w:hAnsi="微软雅黑" w:eastAsia="微软雅黑" w:cs="宋体"/>
                <w:b/>
                <w:bCs/>
                <w:kern w:val="0"/>
                <w:sz w:val="20"/>
                <w:szCs w:val="20"/>
              </w:rPr>
              <w:t>对接部门</w:t>
            </w: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000000" w:fill="E7E6E6"/>
            <w:vAlign w:val="center"/>
          </w:tcPr>
          <w:p>
            <w:pPr>
              <w:widowControl/>
              <w:snapToGrid w:val="0"/>
              <w:jc w:val="right"/>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一、</w:t>
            </w:r>
          </w:p>
        </w:tc>
        <w:tc>
          <w:tcPr>
            <w:tcW w:w="416" w:type="dxa"/>
            <w:tcBorders>
              <w:top w:val="nil"/>
              <w:left w:val="nil"/>
              <w:bottom w:val="single" w:color="auto" w:sz="4" w:space="0"/>
              <w:right w:val="single" w:color="auto" w:sz="4" w:space="0"/>
            </w:tcBorders>
            <w:shd w:val="clear" w:color="000000" w:fill="E7E6E6"/>
            <w:vAlign w:val="center"/>
          </w:tcPr>
          <w:p>
            <w:pPr>
              <w:widowControl/>
              <w:snapToGrid w:val="0"/>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　</w:t>
            </w:r>
          </w:p>
        </w:tc>
        <w:tc>
          <w:tcPr>
            <w:tcW w:w="3616" w:type="dxa"/>
            <w:tcBorders>
              <w:top w:val="nil"/>
              <w:left w:val="nil"/>
              <w:bottom w:val="single" w:color="auto" w:sz="4" w:space="0"/>
              <w:right w:val="single" w:color="auto" w:sz="4" w:space="0"/>
            </w:tcBorders>
            <w:shd w:val="clear" w:color="000000" w:fill="E7E6E6"/>
            <w:vAlign w:val="center"/>
          </w:tcPr>
          <w:p>
            <w:pPr>
              <w:widowControl/>
              <w:snapToGrid w:val="0"/>
              <w:jc w:val="left"/>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总装车间MES系统（含数据接口）</w:t>
            </w:r>
          </w:p>
        </w:tc>
        <w:tc>
          <w:tcPr>
            <w:tcW w:w="1392" w:type="dxa"/>
            <w:tcBorders>
              <w:top w:val="nil"/>
              <w:left w:val="nil"/>
              <w:bottom w:val="single" w:color="auto" w:sz="4" w:space="0"/>
              <w:right w:val="single" w:color="auto" w:sz="4" w:space="0"/>
            </w:tcBorders>
            <w:shd w:val="clear" w:color="000000" w:fill="E7E6E6"/>
            <w:vAlign w:val="center"/>
          </w:tcPr>
          <w:p>
            <w:pPr>
              <w:widowControl/>
              <w:snapToGrid w:val="0"/>
              <w:jc w:val="left"/>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2017/12/29</w:t>
            </w:r>
          </w:p>
        </w:tc>
        <w:tc>
          <w:tcPr>
            <w:tcW w:w="1392" w:type="dxa"/>
            <w:tcBorders>
              <w:top w:val="nil"/>
              <w:left w:val="nil"/>
              <w:bottom w:val="single" w:color="auto" w:sz="4" w:space="0"/>
              <w:right w:val="single" w:color="auto" w:sz="4" w:space="0"/>
            </w:tcBorders>
            <w:shd w:val="clear" w:color="000000" w:fill="E7E6E6"/>
            <w:vAlign w:val="center"/>
          </w:tcPr>
          <w:p>
            <w:pPr>
              <w:widowControl/>
              <w:snapToGrid w:val="0"/>
              <w:jc w:val="left"/>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2018/10/17</w:t>
            </w:r>
          </w:p>
        </w:tc>
        <w:tc>
          <w:tcPr>
            <w:tcW w:w="1616" w:type="dxa"/>
            <w:tcBorders>
              <w:top w:val="nil"/>
              <w:left w:val="nil"/>
              <w:bottom w:val="single" w:color="auto" w:sz="4" w:space="0"/>
              <w:right w:val="single" w:color="auto" w:sz="4" w:space="0"/>
            </w:tcBorders>
            <w:shd w:val="clear" w:color="000000" w:fill="E7E6E6"/>
            <w:vAlign w:val="center"/>
          </w:tcPr>
          <w:p>
            <w:pPr>
              <w:widowControl/>
              <w:snapToGrid w:val="0"/>
              <w:jc w:val="center"/>
              <w:rPr>
                <w:rFonts w:ascii="微软雅黑" w:hAnsi="微软雅黑" w:eastAsia="微软雅黑" w:cs="宋体"/>
                <w:b/>
                <w:bCs/>
                <w:kern w:val="0"/>
                <w:sz w:val="20"/>
                <w:szCs w:val="20"/>
              </w:rPr>
            </w:pPr>
          </w:p>
        </w:tc>
        <w:tc>
          <w:tcPr>
            <w:tcW w:w="1090" w:type="dxa"/>
            <w:tcBorders>
              <w:top w:val="nil"/>
              <w:left w:val="nil"/>
              <w:bottom w:val="single" w:color="auto" w:sz="4" w:space="0"/>
              <w:right w:val="single" w:color="auto" w:sz="4" w:space="0"/>
            </w:tcBorders>
            <w:shd w:val="clear" w:color="000000" w:fill="E7E6E6"/>
            <w:vAlign w:val="center"/>
          </w:tcPr>
          <w:p>
            <w:pPr>
              <w:widowControl/>
              <w:snapToGrid w:val="0"/>
              <w:jc w:val="center"/>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业务相关部门</w:t>
            </w: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16"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lang w:eastAsia="zh-CN"/>
              </w:rPr>
              <w:t>北京XX</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计算机</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股份</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有限</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公司</w:t>
            </w: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系统需求确认</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2018/1/17</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2018/2/9</w:t>
            </w:r>
          </w:p>
        </w:tc>
        <w:tc>
          <w:tcPr>
            <w:tcW w:w="1616"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1.1</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000000" w:fill="FFFF00"/>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主数据管理需求确认</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2018/1/17</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2018/1/17</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1.2</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生产订单管理需求确认</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2018/1/18</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2018/1/18</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1.3</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BOM管理需求确认</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2018/1/19</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2018/1/19</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1.4</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工艺管理需求确认</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2018/1/20</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2018/1/20</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1.5</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物料需求计划需求确认</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2018/1/21</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2018/1/21</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1.6</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采购管理需求确认</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2018/1/22</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2018/1/22</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1.7</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车间计划管理需求确认</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2018/1/23</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2018/1/23</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1.8</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车间作业管理需求确认</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2018/1/24</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2018/1/24</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1.9</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质量管理需求确认</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2018/1/25</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2018/1/25</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1.10</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仓储管理需求确认</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2018/1/26</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2018/1/26</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1.11</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成本管理需求确认</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2018/1/27</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2018/1/27</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1.12</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数据查询、打印需求采集</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2018/1/18</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2018/1/27</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1.13</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资料归档整理</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2018/1/19</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2018/1/28</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1.14</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需求分析</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2018/1/18</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2018/1/31</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1.15</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业务流程梳理</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2018/2/4</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2018/2/6</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1.16</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功能分析</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2018/2/7</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2018/2/9</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需求评审</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2018/2/10</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2018/2/12</w:t>
            </w:r>
          </w:p>
        </w:tc>
        <w:tc>
          <w:tcPr>
            <w:tcW w:w="1616"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3</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系统功能详细设计</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2018/2/13</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2018/2/28</w:t>
            </w:r>
          </w:p>
        </w:tc>
        <w:tc>
          <w:tcPr>
            <w:tcW w:w="1616"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3.1</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系统功能设计</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2018/2/13</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2018/2/22</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3.2</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详细设计文档编制</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2018/2/13</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2018/2/26</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3.3</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详细设计内部评审</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2018/2/27</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2018/2/28</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4</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系统功能详细设计评审</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2018/3/1</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2018/3/3</w:t>
            </w:r>
          </w:p>
        </w:tc>
        <w:tc>
          <w:tcPr>
            <w:tcW w:w="1616"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5</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系统开发</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2018/3/4</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2018/6/30</w:t>
            </w:r>
          </w:p>
        </w:tc>
        <w:tc>
          <w:tcPr>
            <w:tcW w:w="1616"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5.1</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数据库设计</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2018/3/4</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2018/3/31</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5.2</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系统功能开发</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2018/3/15</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2018/5/31</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5.3</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系统功能测试</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2018/4/1</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2018/5/31</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5.4</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系统优化开发</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2018/6/1</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2018/6/30</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5.5</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用户手册编制</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2018/6/1</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2018/6/30</w:t>
            </w:r>
          </w:p>
        </w:tc>
        <w:tc>
          <w:tcPr>
            <w:tcW w:w="16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hint="eastAsia" w:ascii="微软雅黑" w:hAnsi="微软雅黑" w:eastAsia="微软雅黑" w:cs="宋体"/>
                <w:kern w:val="0"/>
                <w:sz w:val="20"/>
                <w:szCs w:val="20"/>
                <w:lang w:eastAsia="zh-CN"/>
              </w:rPr>
            </w:pPr>
          </w:p>
        </w:tc>
      </w:tr>
      <w:tr>
        <w:tblPrEx>
          <w:tblCellMar>
            <w:top w:w="0" w:type="dxa"/>
            <w:left w:w="108" w:type="dxa"/>
            <w:bottom w:w="0" w:type="dxa"/>
            <w:right w:w="108" w:type="dxa"/>
          </w:tblCellMar>
        </w:tblPrEx>
        <w:trPr>
          <w:trHeight w:val="330" w:hRule="atLeast"/>
          <w:jc w:val="center"/>
        </w:trPr>
        <w:tc>
          <w:tcPr>
            <w:tcW w:w="616" w:type="dxa"/>
            <w:tcBorders>
              <w:top w:val="nil"/>
              <w:left w:val="single" w:color="auto" w:sz="4" w:space="0"/>
              <w:bottom w:val="single" w:color="auto" w:sz="4" w:space="0"/>
              <w:right w:val="single" w:color="auto" w:sz="4" w:space="0"/>
            </w:tcBorders>
            <w:shd w:val="clear" w:color="000000" w:fill="E7E6E6"/>
            <w:vAlign w:val="center"/>
          </w:tcPr>
          <w:p>
            <w:pPr>
              <w:widowControl/>
              <w:snapToGrid w:val="0"/>
              <w:jc w:val="right"/>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c>
          <w:tcPr>
            <w:tcW w:w="416" w:type="dxa"/>
            <w:tcBorders>
              <w:top w:val="nil"/>
              <w:left w:val="nil"/>
              <w:bottom w:val="single" w:color="auto" w:sz="4" w:space="0"/>
              <w:right w:val="single" w:color="auto" w:sz="4" w:space="0"/>
            </w:tcBorders>
            <w:shd w:val="clear" w:color="000000" w:fill="E7E6E6"/>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c>
          <w:tcPr>
            <w:tcW w:w="3616" w:type="dxa"/>
            <w:tcBorders>
              <w:top w:val="nil"/>
              <w:left w:val="nil"/>
              <w:bottom w:val="single" w:color="auto" w:sz="4" w:space="0"/>
              <w:right w:val="single" w:color="auto" w:sz="4" w:space="0"/>
            </w:tcBorders>
            <w:shd w:val="clear" w:color="000000" w:fill="E7E6E6"/>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c>
          <w:tcPr>
            <w:tcW w:w="1392" w:type="dxa"/>
            <w:tcBorders>
              <w:top w:val="nil"/>
              <w:left w:val="nil"/>
              <w:bottom w:val="single" w:color="auto" w:sz="4" w:space="0"/>
              <w:right w:val="single" w:color="auto" w:sz="4" w:space="0"/>
            </w:tcBorders>
            <w:shd w:val="clear" w:color="000000" w:fill="E7E6E6"/>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c>
          <w:tcPr>
            <w:tcW w:w="1392" w:type="dxa"/>
            <w:tcBorders>
              <w:top w:val="nil"/>
              <w:left w:val="nil"/>
              <w:bottom w:val="single" w:color="auto" w:sz="4" w:space="0"/>
              <w:right w:val="single" w:color="auto" w:sz="4" w:space="0"/>
            </w:tcBorders>
            <w:shd w:val="clear" w:color="000000" w:fill="E7E6E6"/>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c>
          <w:tcPr>
            <w:tcW w:w="1616" w:type="dxa"/>
            <w:tcBorders>
              <w:top w:val="nil"/>
              <w:left w:val="nil"/>
              <w:bottom w:val="single" w:color="auto" w:sz="4" w:space="0"/>
              <w:right w:val="single" w:color="auto" w:sz="4" w:space="0"/>
            </w:tcBorders>
            <w:shd w:val="clear" w:color="000000" w:fill="E7E6E6"/>
            <w:vAlign w:val="center"/>
          </w:tcPr>
          <w:p>
            <w:pPr>
              <w:widowControl/>
              <w:snapToGrid w:val="0"/>
              <w:jc w:val="center"/>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000000" w:fill="E7E6E6"/>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66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6</w:t>
            </w:r>
          </w:p>
        </w:tc>
        <w:tc>
          <w:tcPr>
            <w:tcW w:w="416"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lang w:eastAsia="zh-CN"/>
              </w:rPr>
              <w:t>北京XX</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计算机</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股份</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有限</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公司</w:t>
            </w: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系统联调测试</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2018/7/1</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2018/7/31</w:t>
            </w:r>
          </w:p>
        </w:tc>
        <w:tc>
          <w:tcPr>
            <w:tcW w:w="1616"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99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7</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系统上线试运行、完善优化、用户培训</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2018/8/1</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2018/9/30</w:t>
            </w:r>
          </w:p>
        </w:tc>
        <w:tc>
          <w:tcPr>
            <w:tcW w:w="1616"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r>
        <w:tblPrEx>
          <w:tblCellMar>
            <w:top w:w="0" w:type="dxa"/>
            <w:left w:w="108" w:type="dxa"/>
            <w:bottom w:w="0" w:type="dxa"/>
            <w:right w:w="108" w:type="dxa"/>
          </w:tblCellMar>
        </w:tblPrEx>
        <w:trPr>
          <w:trHeight w:val="66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8</w:t>
            </w:r>
          </w:p>
        </w:tc>
        <w:tc>
          <w:tcPr>
            <w:tcW w:w="41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微软雅黑" w:hAnsi="微软雅黑" w:eastAsia="微软雅黑" w:cs="宋体"/>
                <w:kern w:val="0"/>
                <w:sz w:val="20"/>
                <w:szCs w:val="20"/>
              </w:rPr>
            </w:pPr>
          </w:p>
        </w:tc>
        <w:tc>
          <w:tcPr>
            <w:tcW w:w="3616"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b/>
                <w:bCs/>
                <w:kern w:val="0"/>
                <w:sz w:val="20"/>
                <w:szCs w:val="20"/>
              </w:rPr>
            </w:pPr>
            <w:r>
              <w:rPr>
                <w:rFonts w:hint="eastAsia" w:ascii="微软雅黑" w:hAnsi="微软雅黑" w:eastAsia="微软雅黑" w:cs="宋体"/>
                <w:b/>
                <w:bCs/>
                <w:kern w:val="0"/>
                <w:sz w:val="20"/>
                <w:szCs w:val="20"/>
              </w:rPr>
              <w:t>系统正式上线、交付并提交</w:t>
            </w:r>
            <w:r>
              <w:rPr>
                <w:rFonts w:hint="eastAsia" w:ascii="微软雅黑" w:hAnsi="微软雅黑" w:eastAsia="微软雅黑" w:cs="宋体"/>
                <w:b/>
                <w:bCs/>
                <w:kern w:val="0"/>
                <w:sz w:val="20"/>
                <w:szCs w:val="20"/>
              </w:rPr>
              <w:br w:type="textWrapping"/>
            </w:r>
            <w:r>
              <w:rPr>
                <w:rFonts w:hint="eastAsia" w:ascii="微软雅黑" w:hAnsi="微软雅黑" w:eastAsia="微软雅黑" w:cs="宋体"/>
                <w:b/>
                <w:bCs/>
                <w:kern w:val="0"/>
                <w:sz w:val="20"/>
                <w:szCs w:val="20"/>
              </w:rPr>
              <w:t>相关项目资料</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2018/10/1</w:t>
            </w:r>
          </w:p>
        </w:tc>
        <w:tc>
          <w:tcPr>
            <w:tcW w:w="1392" w:type="dxa"/>
            <w:tcBorders>
              <w:top w:val="nil"/>
              <w:left w:val="nil"/>
              <w:bottom w:val="single" w:color="auto" w:sz="4" w:space="0"/>
              <w:right w:val="single" w:color="auto" w:sz="4" w:space="0"/>
            </w:tcBorders>
            <w:shd w:val="clear" w:color="auto" w:fill="auto"/>
            <w:vAlign w:val="center"/>
          </w:tcPr>
          <w:p>
            <w:pPr>
              <w:widowControl/>
              <w:snapToGrid w:val="0"/>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2018/10/17</w:t>
            </w:r>
          </w:p>
        </w:tc>
        <w:tc>
          <w:tcPr>
            <w:tcW w:w="1616"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c>
          <w:tcPr>
            <w:tcW w:w="1090"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微软雅黑" w:hAnsi="微软雅黑" w:eastAsia="微软雅黑" w:cs="宋体"/>
                <w:kern w:val="0"/>
                <w:sz w:val="20"/>
                <w:szCs w:val="20"/>
              </w:rPr>
            </w:pPr>
          </w:p>
        </w:tc>
      </w:tr>
    </w:tbl>
    <w:p/>
    <w:p>
      <w:pPr>
        <w:widowControl/>
        <w:jc w:val="left"/>
        <w:rPr>
          <w:rFonts w:ascii="微软雅黑" w:hAnsi="微软雅黑" w:eastAsia="微软雅黑" w:cs="微软雅黑"/>
          <w:b/>
          <w:bCs/>
          <w:kern w:val="44"/>
          <w:sz w:val="36"/>
          <w:szCs w:val="36"/>
        </w:rPr>
      </w:pPr>
    </w:p>
    <w:sectPr>
      <w:headerReference r:id="rId5" w:type="first"/>
      <w:headerReference r:id="rId3" w:type="default"/>
      <w:footerReference r:id="rId6" w:type="default"/>
      <w:headerReference r:id="rId4" w:type="even"/>
      <w:footerReference r:id="rId7" w:type="even"/>
      <w:type w:val="continuous"/>
      <w:pgSz w:w="11906" w:h="16838"/>
      <w:pgMar w:top="1134" w:right="1134" w:bottom="1134" w:left="850" w:header="425" w:footer="709" w:gutter="0"/>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Book Antiqua">
    <w:panose1 w:val="02040602050305030304"/>
    <w:charset w:val="00"/>
    <w:family w:val="roman"/>
    <w:pitch w:val="default"/>
    <w:sig w:usb0="00000287" w:usb1="00000000" w:usb2="00000000" w:usb3="00000000" w:csb0="2000009F" w:csb1="DFD70000"/>
  </w:font>
  <w:font w:name="仿宋_GB2312">
    <w:altName w:val="仿宋"/>
    <w:panose1 w:val="00000000000000000000"/>
    <w:charset w:val="86"/>
    <w:family w:val="auto"/>
    <w:pitch w:val="default"/>
    <w:sig w:usb0="00000000" w:usb1="00000000" w:usb2="00000000" w:usb3="00000000" w:csb0="00040000" w:csb1="00000000"/>
  </w:font>
  <w:font w:name="Univers (WN)">
    <w:altName w:val="Arial"/>
    <w:panose1 w:val="00000000000000000000"/>
    <w:charset w:val="00"/>
    <w:family w:val="swiss"/>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DFKai-SB">
    <w:altName w:val="Microsoft JhengHei Light"/>
    <w:panose1 w:val="03000509000000000000"/>
    <w:charset w:val="88"/>
    <w:family w:val="script"/>
    <w:pitch w:val="default"/>
    <w:sig w:usb0="00000000" w:usb1="00000000" w:usb2="00000016" w:usb3="00000000" w:csb0="00100001" w:csb1="00000000"/>
  </w:font>
  <w:font w:name="宋体常规">
    <w:altName w:val="宋体"/>
    <w:panose1 w:val="00000000000000000000"/>
    <w:charset w:val="86"/>
    <w:family w:val="roma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Microsoft JhengHei Light">
    <w:panose1 w:val="020B0304030504040204"/>
    <w:charset w:val="88"/>
    <w:family w:val="auto"/>
    <w:pitch w:val="default"/>
    <w:sig w:usb0="800002A7" w:usb1="28CF4400" w:usb2="00000016" w:usb3="00000000" w:csb0="00100009"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6937910"/>
    </w:sdtPr>
    <w:sdtContent>
      <w:p>
        <w:pPr>
          <w:pStyle w:val="24"/>
          <w:pBdr>
            <w:top w:val="single" w:color="auto" w:sz="6" w:space="1"/>
          </w:pBdr>
          <w:jc w:val="center"/>
          <w:rPr>
            <w:sz w:val="21"/>
            <w:szCs w:val="22"/>
          </w:rPr>
        </w:pPr>
        <w:r>
          <w:rPr>
            <w:rFonts w:ascii="Arial" w:cs="Arial"/>
            <w:sz w:val="21"/>
            <w:szCs w:val="21"/>
          </w:rPr>
          <w:t>第</w:t>
        </w:r>
        <w:r>
          <w:rPr>
            <w:rFonts w:ascii="Arial" w:hAnsi="Arial" w:cs="Arial"/>
            <w:sz w:val="21"/>
            <w:szCs w:val="21"/>
          </w:rPr>
          <w:fldChar w:fldCharType="begin"/>
        </w:r>
        <w:r>
          <w:rPr>
            <w:rFonts w:ascii="Arial" w:hAnsi="Arial" w:cs="Arial"/>
            <w:sz w:val="21"/>
            <w:szCs w:val="21"/>
          </w:rPr>
          <w:instrText xml:space="preserve">PAGE</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r>
          <w:rPr>
            <w:rFonts w:ascii="Arial" w:cs="Arial"/>
            <w:sz w:val="21"/>
            <w:szCs w:val="21"/>
            <w:lang w:val="zh-CN"/>
          </w:rPr>
          <w:t>页共</w:t>
        </w:r>
        <w:r>
          <w:rPr>
            <w:rFonts w:ascii="Arial" w:hAnsi="Arial" w:cs="Arial"/>
            <w:sz w:val="21"/>
            <w:szCs w:val="21"/>
          </w:rPr>
          <w:fldChar w:fldCharType="begin"/>
        </w:r>
        <w:r>
          <w:rPr>
            <w:rFonts w:ascii="Arial" w:hAnsi="Arial" w:cs="Arial"/>
            <w:sz w:val="21"/>
            <w:szCs w:val="21"/>
          </w:rPr>
          <w:instrText xml:space="preserve">NUMPAGES</w:instrText>
        </w:r>
        <w:r>
          <w:rPr>
            <w:rFonts w:ascii="Arial" w:hAnsi="Arial" w:cs="Arial"/>
            <w:sz w:val="21"/>
            <w:szCs w:val="21"/>
          </w:rPr>
          <w:fldChar w:fldCharType="separate"/>
        </w:r>
        <w:r>
          <w:rPr>
            <w:rFonts w:ascii="Arial" w:hAnsi="Arial" w:cs="Arial"/>
            <w:sz w:val="21"/>
            <w:szCs w:val="21"/>
          </w:rPr>
          <w:t>115</w:t>
        </w:r>
        <w:r>
          <w:rPr>
            <w:rFonts w:ascii="Arial" w:hAnsi="Arial" w:cs="Arial"/>
            <w:sz w:val="21"/>
            <w:szCs w:val="21"/>
          </w:rPr>
          <w:fldChar w:fldCharType="end"/>
        </w:r>
        <w:r>
          <w:rPr>
            <w:rFonts w:ascii="Arial" w:cs="Arial"/>
            <w:sz w:val="21"/>
            <w:szCs w:val="21"/>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2076230"/>
    </w:sdtPr>
    <w:sdtContent>
      <w:p>
        <w:pPr>
          <w:pStyle w:val="24"/>
          <w:pBdr>
            <w:top w:val="single" w:color="auto" w:sz="6" w:space="1"/>
          </w:pBdr>
          <w:jc w:val="center"/>
          <w:rPr>
            <w:sz w:val="21"/>
            <w:szCs w:val="22"/>
          </w:rPr>
        </w:pPr>
        <w:r>
          <w:rPr>
            <w:rFonts w:ascii="Arial" w:cs="Arial"/>
            <w:sz w:val="21"/>
            <w:szCs w:val="21"/>
          </w:rPr>
          <w:t>第</w:t>
        </w:r>
        <w:r>
          <w:rPr>
            <w:rFonts w:ascii="Arial" w:hAnsi="Arial" w:cs="Arial"/>
            <w:sz w:val="21"/>
            <w:szCs w:val="21"/>
          </w:rPr>
          <w:fldChar w:fldCharType="begin"/>
        </w:r>
        <w:r>
          <w:rPr>
            <w:rFonts w:ascii="Arial" w:hAnsi="Arial" w:cs="Arial"/>
            <w:sz w:val="21"/>
            <w:szCs w:val="21"/>
          </w:rPr>
          <w:instrText xml:space="preserve">PAGE</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r>
          <w:rPr>
            <w:rFonts w:ascii="Arial" w:cs="Arial"/>
            <w:sz w:val="21"/>
            <w:szCs w:val="21"/>
            <w:lang w:val="zh-CN"/>
          </w:rPr>
          <w:t>页共</w:t>
        </w:r>
        <w:r>
          <w:rPr>
            <w:rFonts w:ascii="Arial" w:hAnsi="Arial" w:cs="Arial"/>
            <w:sz w:val="21"/>
            <w:szCs w:val="21"/>
          </w:rPr>
          <w:fldChar w:fldCharType="begin"/>
        </w:r>
        <w:r>
          <w:rPr>
            <w:rFonts w:ascii="Arial" w:hAnsi="Arial" w:cs="Arial"/>
            <w:sz w:val="21"/>
            <w:szCs w:val="21"/>
          </w:rPr>
          <w:instrText xml:space="preserve">NUMPAGES</w:instrText>
        </w:r>
        <w:r>
          <w:rPr>
            <w:rFonts w:ascii="Arial" w:hAnsi="Arial" w:cs="Arial"/>
            <w:sz w:val="21"/>
            <w:szCs w:val="21"/>
          </w:rPr>
          <w:fldChar w:fldCharType="separate"/>
        </w:r>
        <w:r>
          <w:rPr>
            <w:rFonts w:ascii="Arial" w:hAnsi="Arial" w:cs="Arial"/>
            <w:sz w:val="21"/>
            <w:szCs w:val="21"/>
          </w:rPr>
          <w:t>28</w:t>
        </w:r>
        <w:r>
          <w:rPr>
            <w:rFonts w:ascii="Arial" w:hAnsi="Arial" w:cs="Arial"/>
            <w:sz w:val="21"/>
            <w:szCs w:val="21"/>
          </w:rPr>
          <w:fldChar w:fldCharType="end"/>
        </w:r>
        <w:r>
          <w:rPr>
            <w:rFonts w:ascii="Arial" w:cs="Arial"/>
            <w:sz w:val="21"/>
            <w:szCs w:val="21"/>
          </w:rPr>
          <w:t>页</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4" w:space="0"/>
      </w:pBdr>
      <w:wordWrap w:val="0"/>
      <w:jc w:val="right"/>
      <w:rPr>
        <w:rFonts w:ascii="Arial" w:hAnsi="Arial" w:cs="Arial"/>
        <w:color w:val="4F81BD" w:themeColor="accent1"/>
        <w:sz w:val="28"/>
        <w:szCs w:val="28"/>
      </w:rPr>
    </w:pPr>
    <w:r>
      <w:rPr>
        <w:rFonts w:hint="eastAsia" w:ascii="黑体" w:hAnsi="黑体" w:eastAsia="黑体" w:cs="黑体"/>
        <w:color w:val="4F81BD" w:themeColor="accent1"/>
        <w:sz w:val="28"/>
        <w:szCs w:val="28"/>
      </w:rPr>
      <w:t>中信重工伊滨智能工厂特种机器人总装车间</w:t>
    </w:r>
    <w:r>
      <w:rPr>
        <w:rFonts w:ascii="黑体" w:hAnsi="黑体" w:eastAsia="黑体" w:cs="黑体"/>
        <w:color w:val="4F81BD" w:themeColor="accent1"/>
        <w:sz w:val="28"/>
        <w:szCs w:val="28"/>
      </w:rPr>
      <w:t>MES</w:t>
    </w:r>
    <w:r>
      <w:rPr>
        <w:rFonts w:hint="eastAsia" w:ascii="黑体" w:hAnsi="黑体" w:eastAsia="黑体" w:cs="黑体"/>
        <w:color w:val="4F81BD" w:themeColor="accent1"/>
        <w:sz w:val="28"/>
        <w:szCs w:val="28"/>
      </w:rPr>
      <w:t>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4" w:space="1"/>
      </w:pBdr>
      <w:jc w:val="left"/>
      <w:rPr>
        <w:rFonts w:ascii="Arial" w:hAnsi="Arial" w:cs="Arial"/>
      </w:rPr>
    </w:pPr>
    <w:r>
      <w:rPr>
        <w:rFonts w:ascii="Arial" w:hAnsi="Arial" w:cs="Arial"/>
        <w:sz w:val="21"/>
        <w:szCs w:val="21"/>
      </w:rPr>
      <w:drawing>
        <wp:inline distT="0" distB="0" distL="0" distR="0">
          <wp:extent cx="1028700" cy="342900"/>
          <wp:effectExtent l="1905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1"/>
                  <a:srcRect/>
                  <a:stretch>
                    <a:fillRect/>
                  </a:stretch>
                </pic:blipFill>
                <pic:spPr>
                  <a:xfrm>
                    <a:off x="0" y="0"/>
                    <a:ext cx="1028700" cy="342900"/>
                  </a:xfrm>
                  <a:prstGeom prst="rect">
                    <a:avLst/>
                  </a:prstGeom>
                  <a:noFill/>
                  <a:ln w="9525">
                    <a:noFill/>
                    <a:miter lim="800000"/>
                    <a:headEnd/>
                    <a:tailEnd/>
                  </a:ln>
                </pic:spPr>
              </pic:pic>
            </a:graphicData>
          </a:graphic>
        </wp:inline>
      </w:drawing>
    </w:r>
    <w:r>
      <w:rPr>
        <w:rFonts w:ascii="Arial" w:hAnsi="Arial" w:cs="Arial"/>
        <w:sz w:val="21"/>
        <w:szCs w:val="21"/>
      </w:rPr>
      <w:t xml:space="preserve">    </w:t>
    </w:r>
    <w:r>
      <w:rPr>
        <w:rFonts w:hint="eastAsia" w:ascii="Arial" w:hAnsi="Arial" w:cs="Arial"/>
        <w:sz w:val="21"/>
        <w:szCs w:val="21"/>
      </w:rPr>
      <w:t xml:space="preserve">                                                       </w:t>
    </w:r>
    <w:r>
      <w:rPr>
        <w:rFonts w:ascii="Arial" w:hAnsi="Arial" w:cs="Arial"/>
        <w:sz w:val="21"/>
        <w:szCs w:val="21"/>
      </w:rPr>
      <w:drawing>
        <wp:inline distT="0" distB="0" distL="0" distR="0">
          <wp:extent cx="1095375" cy="371475"/>
          <wp:effectExtent l="19050" t="0" r="9525" b="0"/>
          <wp:docPr id="222" name="图片 1" descr="L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 descr="LKLogo.JPG"/>
                  <pic:cNvPicPr>
                    <a:picLocks noChangeAspect="1"/>
                  </pic:cNvPicPr>
                </pic:nvPicPr>
                <pic:blipFill>
                  <a:blip r:embed="rId2"/>
                  <a:stretch>
                    <a:fillRect/>
                  </a:stretch>
                </pic:blipFill>
                <pic:spPr>
                  <a:xfrm>
                    <a:off x="0" y="0"/>
                    <a:ext cx="1097141" cy="37207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spacing w:line="160" w:lineRule="exact"/>
      <w:jc w:val="left"/>
      <w:rPr>
        <w:rFonts w:asciiTheme="minorEastAsia" w:hAnsiTheme="minorEastAsia"/>
        <w:sz w:val="15"/>
        <w:szCs w:val="15"/>
      </w:rPr>
    </w:pPr>
  </w:p>
  <w:p>
    <w:pPr>
      <w:pStyle w:val="25"/>
      <w:pBdr>
        <w:bottom w:val="none" w:color="auto" w:sz="0" w:space="0"/>
      </w:pBdr>
      <w:spacing w:line="160" w:lineRule="exact"/>
      <w:jc w:val="left"/>
      <w:rPr>
        <w:rFonts w:asciiTheme="minorEastAsia" w:hAnsiTheme="minorEastAsia"/>
        <w:sz w:val="15"/>
        <w:szCs w:val="15"/>
      </w:rPr>
    </w:pPr>
  </w:p>
  <w:p>
    <w:pPr>
      <w:pStyle w:val="25"/>
      <w:pBdr>
        <w:bottom w:val="none" w:color="auto" w:sz="0" w:space="0"/>
      </w:pBdr>
      <w:spacing w:line="160" w:lineRule="exact"/>
      <w:jc w:val="left"/>
      <w:rPr>
        <w:rFonts w:asciiTheme="minorEastAsia" w:hAnsiTheme="minorEastAsia"/>
        <w:sz w:val="15"/>
        <w:szCs w:val="15"/>
      </w:rPr>
    </w:pPr>
  </w:p>
  <w:p>
    <w:pPr>
      <w:pStyle w:val="25"/>
      <w:pBdr>
        <w:bottom w:val="none" w:color="auto" w:sz="0" w:space="0"/>
      </w:pBdr>
      <w:spacing w:line="160" w:lineRule="exact"/>
      <w:jc w:val="left"/>
      <w:rPr>
        <w:rFonts w:asciiTheme="minorEastAsia" w:hAnsiTheme="minorEastAsia"/>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236C08"/>
    <w:multiLevelType w:val="singleLevel"/>
    <w:tmpl w:val="87236C08"/>
    <w:lvl w:ilvl="0" w:tentative="0">
      <w:start w:val="1"/>
      <w:numFmt w:val="decimalEnclosedCircleChinese"/>
      <w:suff w:val="nothing"/>
      <w:lvlText w:val="%1　"/>
      <w:lvlJc w:val="left"/>
      <w:pPr>
        <w:ind w:left="0" w:firstLine="400"/>
      </w:pPr>
      <w:rPr>
        <w:rFonts w:hint="eastAsia"/>
      </w:rPr>
    </w:lvl>
  </w:abstractNum>
  <w:abstractNum w:abstractNumId="1">
    <w:nsid w:val="9DF8EF11"/>
    <w:multiLevelType w:val="singleLevel"/>
    <w:tmpl w:val="9DF8EF11"/>
    <w:lvl w:ilvl="0" w:tentative="0">
      <w:start w:val="1"/>
      <w:numFmt w:val="decimalEnclosedCircleChinese"/>
      <w:suff w:val="nothing"/>
      <w:lvlText w:val="%1　"/>
      <w:lvlJc w:val="left"/>
      <w:pPr>
        <w:ind w:left="0" w:firstLine="400"/>
      </w:pPr>
      <w:rPr>
        <w:rFonts w:hint="eastAsia"/>
      </w:rPr>
    </w:lvl>
  </w:abstractNum>
  <w:abstractNum w:abstractNumId="2">
    <w:nsid w:val="AFF4D020"/>
    <w:multiLevelType w:val="singleLevel"/>
    <w:tmpl w:val="AFF4D020"/>
    <w:lvl w:ilvl="0" w:tentative="0">
      <w:start w:val="1"/>
      <w:numFmt w:val="decimalEnclosedCircleChinese"/>
      <w:suff w:val="nothing"/>
      <w:lvlText w:val="%1　"/>
      <w:lvlJc w:val="left"/>
      <w:pPr>
        <w:ind w:left="0" w:firstLine="400"/>
      </w:pPr>
      <w:rPr>
        <w:rFonts w:hint="eastAsia"/>
      </w:rPr>
    </w:lvl>
  </w:abstractNum>
  <w:abstractNum w:abstractNumId="3">
    <w:nsid w:val="C0451612"/>
    <w:multiLevelType w:val="singleLevel"/>
    <w:tmpl w:val="C0451612"/>
    <w:lvl w:ilvl="0" w:tentative="0">
      <w:start w:val="1"/>
      <w:numFmt w:val="decimalEnclosedCircleChinese"/>
      <w:suff w:val="nothing"/>
      <w:lvlText w:val="%1　"/>
      <w:lvlJc w:val="left"/>
      <w:pPr>
        <w:ind w:left="0" w:firstLine="400"/>
      </w:pPr>
      <w:rPr>
        <w:rFonts w:hint="eastAsia"/>
      </w:rPr>
    </w:lvl>
  </w:abstractNum>
  <w:abstractNum w:abstractNumId="4">
    <w:nsid w:val="ED2DDB88"/>
    <w:multiLevelType w:val="singleLevel"/>
    <w:tmpl w:val="ED2DDB88"/>
    <w:lvl w:ilvl="0" w:tentative="0">
      <w:start w:val="1"/>
      <w:numFmt w:val="decimalEnclosedCircleChinese"/>
      <w:suff w:val="nothing"/>
      <w:lvlText w:val="%1　"/>
      <w:lvlJc w:val="left"/>
      <w:pPr>
        <w:ind w:left="0" w:firstLine="400"/>
      </w:pPr>
      <w:rPr>
        <w:rFonts w:hint="eastAsia"/>
      </w:rPr>
    </w:lvl>
  </w:abstractNum>
  <w:abstractNum w:abstractNumId="5">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6">
    <w:nsid w:val="00000043"/>
    <w:multiLevelType w:val="singleLevel"/>
    <w:tmpl w:val="00000043"/>
    <w:lvl w:ilvl="0" w:tentative="0">
      <w:start w:val="1"/>
      <w:numFmt w:val="decimalEnclosedCircleChinese"/>
      <w:suff w:val="nothing"/>
      <w:lvlText w:val="%1　"/>
      <w:lvlJc w:val="left"/>
      <w:pPr>
        <w:ind w:left="0" w:firstLine="400"/>
      </w:pPr>
      <w:rPr>
        <w:rFonts w:hint="eastAsia"/>
      </w:rPr>
    </w:lvl>
  </w:abstractNum>
  <w:abstractNum w:abstractNumId="7">
    <w:nsid w:val="00D0665B"/>
    <w:multiLevelType w:val="singleLevel"/>
    <w:tmpl w:val="00D0665B"/>
    <w:lvl w:ilvl="0" w:tentative="0">
      <w:start w:val="1"/>
      <w:numFmt w:val="decimalEnclosedCircleChinese"/>
      <w:suff w:val="nothing"/>
      <w:lvlText w:val="%1　"/>
      <w:lvlJc w:val="left"/>
      <w:pPr>
        <w:ind w:left="0" w:firstLine="400"/>
      </w:pPr>
      <w:rPr>
        <w:rFonts w:hint="eastAsia"/>
      </w:rPr>
    </w:lvl>
  </w:abstractNum>
  <w:abstractNum w:abstractNumId="8">
    <w:nsid w:val="016939F9"/>
    <w:multiLevelType w:val="singleLevel"/>
    <w:tmpl w:val="016939F9"/>
    <w:lvl w:ilvl="0" w:tentative="0">
      <w:start w:val="1"/>
      <w:numFmt w:val="decimalEnclosedCircleChinese"/>
      <w:suff w:val="nothing"/>
      <w:lvlText w:val="%1　"/>
      <w:lvlJc w:val="left"/>
      <w:pPr>
        <w:ind w:left="0" w:firstLine="400"/>
      </w:pPr>
      <w:rPr>
        <w:rFonts w:hint="eastAsia"/>
      </w:rPr>
    </w:lvl>
  </w:abstractNum>
  <w:abstractNum w:abstractNumId="9">
    <w:nsid w:val="02283817"/>
    <w:multiLevelType w:val="singleLevel"/>
    <w:tmpl w:val="02283817"/>
    <w:lvl w:ilvl="0" w:tentative="0">
      <w:start w:val="1"/>
      <w:numFmt w:val="decimalEnclosedCircleChinese"/>
      <w:suff w:val="nothing"/>
      <w:lvlText w:val="%1　"/>
      <w:lvlJc w:val="left"/>
      <w:pPr>
        <w:ind w:left="0" w:firstLine="400"/>
      </w:pPr>
      <w:rPr>
        <w:rFonts w:hint="eastAsia"/>
      </w:rPr>
    </w:lvl>
  </w:abstractNum>
  <w:abstractNum w:abstractNumId="10">
    <w:nsid w:val="0B1F6833"/>
    <w:multiLevelType w:val="singleLevel"/>
    <w:tmpl w:val="0B1F6833"/>
    <w:lvl w:ilvl="0" w:tentative="0">
      <w:start w:val="1"/>
      <w:numFmt w:val="decimalEnclosedCircleChinese"/>
      <w:suff w:val="nothing"/>
      <w:lvlText w:val="%1　"/>
      <w:lvlJc w:val="left"/>
      <w:pPr>
        <w:ind w:left="0" w:firstLine="400"/>
      </w:pPr>
      <w:rPr>
        <w:rFonts w:hint="eastAsia"/>
      </w:rPr>
    </w:lvl>
  </w:abstractNum>
  <w:abstractNum w:abstractNumId="11">
    <w:nsid w:val="0EBBAFC2"/>
    <w:multiLevelType w:val="singleLevel"/>
    <w:tmpl w:val="0EBBAFC2"/>
    <w:lvl w:ilvl="0" w:tentative="0">
      <w:start w:val="1"/>
      <w:numFmt w:val="decimalEnclosedCircleChinese"/>
      <w:suff w:val="nothing"/>
      <w:lvlText w:val="%1　"/>
      <w:lvlJc w:val="left"/>
      <w:pPr>
        <w:ind w:left="0" w:firstLine="400"/>
      </w:pPr>
      <w:rPr>
        <w:rFonts w:hint="eastAsia"/>
      </w:rPr>
    </w:lvl>
  </w:abstractNum>
  <w:abstractNum w:abstractNumId="12">
    <w:nsid w:val="1038770F"/>
    <w:multiLevelType w:val="singleLevel"/>
    <w:tmpl w:val="1038770F"/>
    <w:lvl w:ilvl="0" w:tentative="0">
      <w:start w:val="1"/>
      <w:numFmt w:val="decimalEnclosedCircleChinese"/>
      <w:suff w:val="nothing"/>
      <w:lvlText w:val="%1　"/>
      <w:lvlJc w:val="left"/>
      <w:pPr>
        <w:ind w:left="0" w:firstLine="400"/>
      </w:pPr>
      <w:rPr>
        <w:rFonts w:hint="eastAsia"/>
      </w:rPr>
    </w:lvl>
  </w:abstractNum>
  <w:abstractNum w:abstractNumId="13">
    <w:nsid w:val="153557EB"/>
    <w:multiLevelType w:val="singleLevel"/>
    <w:tmpl w:val="153557EB"/>
    <w:lvl w:ilvl="0" w:tentative="0">
      <w:start w:val="1"/>
      <w:numFmt w:val="decimalEnclosedCircleChinese"/>
      <w:suff w:val="nothing"/>
      <w:lvlText w:val="%1　"/>
      <w:lvlJc w:val="left"/>
      <w:pPr>
        <w:ind w:left="0" w:firstLine="400"/>
      </w:pPr>
      <w:rPr>
        <w:rFonts w:hint="eastAsia"/>
      </w:rPr>
    </w:lvl>
  </w:abstractNum>
  <w:abstractNum w:abstractNumId="14">
    <w:nsid w:val="20FB6A82"/>
    <w:multiLevelType w:val="singleLevel"/>
    <w:tmpl w:val="20FB6A82"/>
    <w:lvl w:ilvl="0" w:tentative="0">
      <w:start w:val="1"/>
      <w:numFmt w:val="decimalEnclosedCircleChinese"/>
      <w:suff w:val="nothing"/>
      <w:lvlText w:val="%1　"/>
      <w:lvlJc w:val="left"/>
      <w:pPr>
        <w:ind w:left="0" w:firstLine="400"/>
      </w:pPr>
      <w:rPr>
        <w:rFonts w:hint="eastAsia"/>
      </w:rPr>
    </w:lvl>
  </w:abstractNum>
  <w:abstractNum w:abstractNumId="15">
    <w:nsid w:val="2584646A"/>
    <w:multiLevelType w:val="singleLevel"/>
    <w:tmpl w:val="2584646A"/>
    <w:lvl w:ilvl="0" w:tentative="0">
      <w:start w:val="1"/>
      <w:numFmt w:val="decimalEnclosedCircleChinese"/>
      <w:suff w:val="nothing"/>
      <w:lvlText w:val="%1　"/>
      <w:lvlJc w:val="left"/>
      <w:pPr>
        <w:ind w:left="0" w:firstLine="400"/>
      </w:pPr>
      <w:rPr>
        <w:rFonts w:hint="eastAsia"/>
      </w:rPr>
    </w:lvl>
  </w:abstractNum>
  <w:abstractNum w:abstractNumId="16">
    <w:nsid w:val="282F4E4A"/>
    <w:multiLevelType w:val="multilevel"/>
    <w:tmpl w:val="282F4E4A"/>
    <w:lvl w:ilvl="0" w:tentative="0">
      <w:start w:val="1"/>
      <w:numFmt w:val="bullet"/>
      <w:pStyle w:val="88"/>
      <w:lvlText w:val=""/>
      <w:lvlJc w:val="left"/>
      <w:pPr>
        <w:tabs>
          <w:tab w:val="left" w:pos="1320"/>
        </w:tabs>
        <w:ind w:left="1320" w:hanging="420"/>
      </w:pPr>
      <w:rPr>
        <w:rFonts w:hint="default" w:ascii="Symbol" w:hAnsi="Symbol"/>
        <w:color w:val="auto"/>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7">
    <w:nsid w:val="2C721924"/>
    <w:multiLevelType w:val="singleLevel"/>
    <w:tmpl w:val="2C721924"/>
    <w:lvl w:ilvl="0" w:tentative="0">
      <w:start w:val="1"/>
      <w:numFmt w:val="decimalEnclosedCircleChinese"/>
      <w:suff w:val="nothing"/>
      <w:lvlText w:val="%1　"/>
      <w:lvlJc w:val="left"/>
      <w:pPr>
        <w:ind w:left="0" w:firstLine="400"/>
      </w:pPr>
      <w:rPr>
        <w:rFonts w:hint="eastAsia"/>
      </w:rPr>
    </w:lvl>
  </w:abstractNum>
  <w:abstractNum w:abstractNumId="18">
    <w:nsid w:val="30660089"/>
    <w:multiLevelType w:val="singleLevel"/>
    <w:tmpl w:val="30660089"/>
    <w:lvl w:ilvl="0" w:tentative="0">
      <w:start w:val="1"/>
      <w:numFmt w:val="decimalEnclosedCircleChinese"/>
      <w:suff w:val="nothing"/>
      <w:lvlText w:val="%1　"/>
      <w:lvlJc w:val="left"/>
      <w:pPr>
        <w:ind w:left="0" w:firstLine="400"/>
      </w:pPr>
      <w:rPr>
        <w:rFonts w:hint="eastAsia"/>
      </w:rPr>
    </w:lvl>
  </w:abstractNum>
  <w:abstractNum w:abstractNumId="19">
    <w:nsid w:val="31FB2C55"/>
    <w:multiLevelType w:val="singleLevel"/>
    <w:tmpl w:val="31FB2C55"/>
    <w:lvl w:ilvl="0" w:tentative="0">
      <w:start w:val="1"/>
      <w:numFmt w:val="decimalEnclosedCircleChinese"/>
      <w:suff w:val="nothing"/>
      <w:lvlText w:val="%1　"/>
      <w:lvlJc w:val="left"/>
      <w:pPr>
        <w:ind w:left="0" w:firstLine="400"/>
      </w:pPr>
      <w:rPr>
        <w:rFonts w:hint="eastAsia"/>
      </w:rPr>
    </w:lvl>
  </w:abstractNum>
  <w:abstractNum w:abstractNumId="20">
    <w:nsid w:val="32BB9325"/>
    <w:multiLevelType w:val="singleLevel"/>
    <w:tmpl w:val="32BB9325"/>
    <w:lvl w:ilvl="0" w:tentative="0">
      <w:start w:val="1"/>
      <w:numFmt w:val="decimalEnclosedCircleChinese"/>
      <w:suff w:val="nothing"/>
      <w:lvlText w:val="%1　"/>
      <w:lvlJc w:val="left"/>
      <w:pPr>
        <w:ind w:left="0" w:firstLine="400"/>
      </w:pPr>
      <w:rPr>
        <w:rFonts w:hint="eastAsia"/>
      </w:rPr>
    </w:lvl>
  </w:abstractNum>
  <w:abstractNum w:abstractNumId="21">
    <w:nsid w:val="35F3720E"/>
    <w:multiLevelType w:val="singleLevel"/>
    <w:tmpl w:val="35F3720E"/>
    <w:lvl w:ilvl="0" w:tentative="0">
      <w:start w:val="1"/>
      <w:numFmt w:val="decimalEnclosedCircleChinese"/>
      <w:suff w:val="nothing"/>
      <w:lvlText w:val="%1　"/>
      <w:lvlJc w:val="left"/>
      <w:pPr>
        <w:ind w:left="0" w:firstLine="400"/>
      </w:pPr>
      <w:rPr>
        <w:rFonts w:hint="eastAsia"/>
      </w:rPr>
    </w:lvl>
  </w:abstractNum>
  <w:abstractNum w:abstractNumId="22">
    <w:nsid w:val="53D34DF6"/>
    <w:multiLevelType w:val="singleLevel"/>
    <w:tmpl w:val="53D34DF6"/>
    <w:lvl w:ilvl="0" w:tentative="0">
      <w:start w:val="1"/>
      <w:numFmt w:val="decimalEnclosedCircleChinese"/>
      <w:suff w:val="nothing"/>
      <w:lvlText w:val="%1　"/>
      <w:lvlJc w:val="left"/>
      <w:pPr>
        <w:ind w:left="0" w:firstLine="400"/>
      </w:pPr>
      <w:rPr>
        <w:rFonts w:hint="eastAsia"/>
      </w:rPr>
    </w:lvl>
  </w:abstractNum>
  <w:abstractNum w:abstractNumId="23">
    <w:nsid w:val="5A86ED5D"/>
    <w:multiLevelType w:val="singleLevel"/>
    <w:tmpl w:val="5A86ED5D"/>
    <w:lvl w:ilvl="0" w:tentative="0">
      <w:start w:val="1"/>
      <w:numFmt w:val="decimalEnclosedCircleChinese"/>
      <w:suff w:val="nothing"/>
      <w:lvlText w:val="%1　"/>
      <w:lvlJc w:val="left"/>
      <w:pPr>
        <w:ind w:left="0" w:firstLine="400"/>
      </w:pPr>
      <w:rPr>
        <w:rFonts w:hint="eastAsia"/>
      </w:rPr>
    </w:lvl>
  </w:abstractNum>
  <w:abstractNum w:abstractNumId="24">
    <w:nsid w:val="5A86F069"/>
    <w:multiLevelType w:val="singleLevel"/>
    <w:tmpl w:val="5A86F069"/>
    <w:lvl w:ilvl="0" w:tentative="0">
      <w:start w:val="1"/>
      <w:numFmt w:val="decimalEnclosedCircleChinese"/>
      <w:suff w:val="nothing"/>
      <w:lvlText w:val="%1　"/>
      <w:lvlJc w:val="left"/>
      <w:pPr>
        <w:ind w:left="0" w:firstLine="400"/>
      </w:pPr>
      <w:rPr>
        <w:rFonts w:hint="eastAsia"/>
      </w:rPr>
    </w:lvl>
  </w:abstractNum>
  <w:abstractNum w:abstractNumId="25">
    <w:nsid w:val="5A900736"/>
    <w:multiLevelType w:val="singleLevel"/>
    <w:tmpl w:val="5A900736"/>
    <w:lvl w:ilvl="0" w:tentative="0">
      <w:start w:val="1"/>
      <w:numFmt w:val="decimalEnclosedCircleChinese"/>
      <w:suff w:val="nothing"/>
      <w:lvlText w:val="%1　"/>
      <w:lvlJc w:val="left"/>
      <w:pPr>
        <w:ind w:left="0" w:firstLine="400"/>
      </w:pPr>
      <w:rPr>
        <w:rFonts w:hint="eastAsia"/>
      </w:rPr>
    </w:lvl>
  </w:abstractNum>
  <w:abstractNum w:abstractNumId="26">
    <w:nsid w:val="5A900867"/>
    <w:multiLevelType w:val="singleLevel"/>
    <w:tmpl w:val="5A900867"/>
    <w:lvl w:ilvl="0" w:tentative="0">
      <w:start w:val="1"/>
      <w:numFmt w:val="decimalEnclosedCircleChinese"/>
      <w:suff w:val="nothing"/>
      <w:lvlText w:val="%1　"/>
      <w:lvlJc w:val="left"/>
      <w:pPr>
        <w:ind w:left="0" w:firstLine="400"/>
      </w:pPr>
      <w:rPr>
        <w:rFonts w:hint="eastAsia"/>
      </w:rPr>
    </w:lvl>
  </w:abstractNum>
  <w:abstractNum w:abstractNumId="27">
    <w:nsid w:val="5A900938"/>
    <w:multiLevelType w:val="singleLevel"/>
    <w:tmpl w:val="5A900938"/>
    <w:lvl w:ilvl="0" w:tentative="0">
      <w:start w:val="1"/>
      <w:numFmt w:val="decimalEnclosedCircleChinese"/>
      <w:suff w:val="nothing"/>
      <w:lvlText w:val="%1　"/>
      <w:lvlJc w:val="left"/>
      <w:pPr>
        <w:ind w:left="0" w:firstLine="400"/>
      </w:pPr>
      <w:rPr>
        <w:rFonts w:hint="eastAsia"/>
      </w:rPr>
    </w:lvl>
  </w:abstractNum>
  <w:abstractNum w:abstractNumId="28">
    <w:nsid w:val="5A900BEE"/>
    <w:multiLevelType w:val="singleLevel"/>
    <w:tmpl w:val="5A900BEE"/>
    <w:lvl w:ilvl="0" w:tentative="0">
      <w:start w:val="1"/>
      <w:numFmt w:val="decimalEnclosedCircleChinese"/>
      <w:suff w:val="nothing"/>
      <w:lvlText w:val="%1　"/>
      <w:lvlJc w:val="left"/>
      <w:pPr>
        <w:ind w:left="0" w:firstLine="400"/>
      </w:pPr>
      <w:rPr>
        <w:rFonts w:hint="eastAsia"/>
      </w:rPr>
    </w:lvl>
  </w:abstractNum>
  <w:abstractNum w:abstractNumId="29">
    <w:nsid w:val="5A900CE5"/>
    <w:multiLevelType w:val="singleLevel"/>
    <w:tmpl w:val="5A900CE5"/>
    <w:lvl w:ilvl="0" w:tentative="0">
      <w:start w:val="1"/>
      <w:numFmt w:val="decimalEnclosedCircleChinese"/>
      <w:suff w:val="nothing"/>
      <w:lvlText w:val="%1　"/>
      <w:lvlJc w:val="left"/>
      <w:pPr>
        <w:ind w:left="0" w:firstLine="400"/>
      </w:pPr>
      <w:rPr>
        <w:rFonts w:hint="eastAsia"/>
      </w:rPr>
    </w:lvl>
  </w:abstractNum>
  <w:abstractNum w:abstractNumId="30">
    <w:nsid w:val="5A900EAB"/>
    <w:multiLevelType w:val="singleLevel"/>
    <w:tmpl w:val="5A900EAB"/>
    <w:lvl w:ilvl="0" w:tentative="0">
      <w:start w:val="1"/>
      <w:numFmt w:val="decimalEnclosedCircleChinese"/>
      <w:suff w:val="nothing"/>
      <w:lvlText w:val="%1　"/>
      <w:lvlJc w:val="left"/>
      <w:pPr>
        <w:ind w:left="0" w:firstLine="400"/>
      </w:pPr>
      <w:rPr>
        <w:rFonts w:hint="eastAsia"/>
      </w:rPr>
    </w:lvl>
  </w:abstractNum>
  <w:abstractNum w:abstractNumId="31">
    <w:nsid w:val="5A92338C"/>
    <w:multiLevelType w:val="singleLevel"/>
    <w:tmpl w:val="5A92338C"/>
    <w:lvl w:ilvl="0" w:tentative="0">
      <w:start w:val="1"/>
      <w:numFmt w:val="decimalEnclosedCircleChinese"/>
      <w:suff w:val="nothing"/>
      <w:lvlText w:val="%1　"/>
      <w:lvlJc w:val="left"/>
      <w:pPr>
        <w:ind w:left="0" w:firstLine="400"/>
      </w:pPr>
      <w:rPr>
        <w:rFonts w:hint="eastAsia"/>
      </w:rPr>
    </w:lvl>
  </w:abstractNum>
  <w:abstractNum w:abstractNumId="32">
    <w:nsid w:val="5A923465"/>
    <w:multiLevelType w:val="singleLevel"/>
    <w:tmpl w:val="5A923465"/>
    <w:lvl w:ilvl="0" w:tentative="0">
      <w:start w:val="1"/>
      <w:numFmt w:val="decimalEnclosedCircleChinese"/>
      <w:suff w:val="nothing"/>
      <w:lvlText w:val="%1　"/>
      <w:lvlJc w:val="left"/>
      <w:pPr>
        <w:ind w:left="0" w:firstLine="400"/>
      </w:pPr>
      <w:rPr>
        <w:rFonts w:hint="eastAsia"/>
      </w:rPr>
    </w:lvl>
  </w:abstractNum>
  <w:abstractNum w:abstractNumId="33">
    <w:nsid w:val="5A9236F9"/>
    <w:multiLevelType w:val="singleLevel"/>
    <w:tmpl w:val="5A9236F9"/>
    <w:lvl w:ilvl="0" w:tentative="0">
      <w:start w:val="1"/>
      <w:numFmt w:val="decimalEnclosedCircleChinese"/>
      <w:suff w:val="nothing"/>
      <w:lvlText w:val="%1　"/>
      <w:lvlJc w:val="left"/>
      <w:pPr>
        <w:ind w:left="0" w:firstLine="400"/>
      </w:pPr>
      <w:rPr>
        <w:rFonts w:hint="eastAsia"/>
      </w:rPr>
    </w:lvl>
  </w:abstractNum>
  <w:abstractNum w:abstractNumId="34">
    <w:nsid w:val="5A9237B9"/>
    <w:multiLevelType w:val="singleLevel"/>
    <w:tmpl w:val="5A9237B9"/>
    <w:lvl w:ilvl="0" w:tentative="0">
      <w:start w:val="1"/>
      <w:numFmt w:val="decimalEnclosedCircleChinese"/>
      <w:suff w:val="nothing"/>
      <w:lvlText w:val="%1　"/>
      <w:lvlJc w:val="left"/>
      <w:pPr>
        <w:ind w:left="0" w:firstLine="400"/>
      </w:pPr>
      <w:rPr>
        <w:rFonts w:hint="eastAsia"/>
      </w:rPr>
    </w:lvl>
  </w:abstractNum>
  <w:abstractNum w:abstractNumId="35">
    <w:nsid w:val="5A93A235"/>
    <w:multiLevelType w:val="singleLevel"/>
    <w:tmpl w:val="5A93A235"/>
    <w:lvl w:ilvl="0" w:tentative="0">
      <w:start w:val="1"/>
      <w:numFmt w:val="decimalEnclosedCircleChinese"/>
      <w:suff w:val="nothing"/>
      <w:lvlText w:val="%1　"/>
      <w:lvlJc w:val="left"/>
      <w:pPr>
        <w:ind w:left="0" w:firstLine="400"/>
      </w:pPr>
      <w:rPr>
        <w:rFonts w:hint="eastAsia"/>
      </w:rPr>
    </w:lvl>
  </w:abstractNum>
  <w:abstractNum w:abstractNumId="36">
    <w:nsid w:val="5A951511"/>
    <w:multiLevelType w:val="singleLevel"/>
    <w:tmpl w:val="5A951511"/>
    <w:lvl w:ilvl="0" w:tentative="0">
      <w:start w:val="1"/>
      <w:numFmt w:val="decimalEnclosedCircleChinese"/>
      <w:suff w:val="nothing"/>
      <w:lvlText w:val="%1　"/>
      <w:lvlJc w:val="left"/>
      <w:pPr>
        <w:ind w:left="0" w:firstLine="400"/>
      </w:pPr>
      <w:rPr>
        <w:rFonts w:hint="eastAsia"/>
      </w:rPr>
    </w:lvl>
  </w:abstractNum>
  <w:abstractNum w:abstractNumId="37">
    <w:nsid w:val="5A9515FA"/>
    <w:multiLevelType w:val="singleLevel"/>
    <w:tmpl w:val="5A9515FA"/>
    <w:lvl w:ilvl="0" w:tentative="0">
      <w:start w:val="1"/>
      <w:numFmt w:val="decimalEnclosedCircleChinese"/>
      <w:suff w:val="nothing"/>
      <w:lvlText w:val="%1　"/>
      <w:lvlJc w:val="left"/>
      <w:pPr>
        <w:ind w:left="0" w:firstLine="400"/>
      </w:pPr>
      <w:rPr>
        <w:rFonts w:hint="eastAsia"/>
      </w:rPr>
    </w:lvl>
  </w:abstractNum>
  <w:abstractNum w:abstractNumId="38">
    <w:nsid w:val="63870E56"/>
    <w:multiLevelType w:val="multilevel"/>
    <w:tmpl w:val="63870E5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77CB7602"/>
    <w:multiLevelType w:val="singleLevel"/>
    <w:tmpl w:val="77CB7602"/>
    <w:lvl w:ilvl="0" w:tentative="0">
      <w:start w:val="1"/>
      <w:numFmt w:val="decimalEnclosedCircleChinese"/>
      <w:suff w:val="nothing"/>
      <w:lvlText w:val="%1　"/>
      <w:lvlJc w:val="left"/>
      <w:pPr>
        <w:ind w:left="0" w:firstLine="400"/>
      </w:pPr>
      <w:rPr>
        <w:rFonts w:hint="eastAsia"/>
      </w:rPr>
    </w:lvl>
  </w:abstractNum>
  <w:abstractNum w:abstractNumId="40">
    <w:nsid w:val="79D95AE4"/>
    <w:multiLevelType w:val="singleLevel"/>
    <w:tmpl w:val="79D95AE4"/>
    <w:lvl w:ilvl="0" w:tentative="0">
      <w:start w:val="1"/>
      <w:numFmt w:val="decimalEnclosedCircleChinese"/>
      <w:suff w:val="nothing"/>
      <w:lvlText w:val="%1　"/>
      <w:lvlJc w:val="left"/>
      <w:pPr>
        <w:ind w:left="0" w:firstLine="400"/>
      </w:pPr>
      <w:rPr>
        <w:rFonts w:hint="eastAsia"/>
      </w:rPr>
    </w:lvl>
  </w:abstractNum>
  <w:num w:numId="1">
    <w:abstractNumId w:val="5"/>
  </w:num>
  <w:num w:numId="2">
    <w:abstractNumId w:val="16"/>
  </w:num>
  <w:num w:numId="3">
    <w:abstractNumId w:val="38"/>
  </w:num>
  <w:num w:numId="4">
    <w:abstractNumId w:val="9"/>
  </w:num>
  <w:num w:numId="5">
    <w:abstractNumId w:val="14"/>
  </w:num>
  <w:num w:numId="6">
    <w:abstractNumId w:val="15"/>
  </w:num>
  <w:num w:numId="7">
    <w:abstractNumId w:val="39"/>
  </w:num>
  <w:num w:numId="8">
    <w:abstractNumId w:val="7"/>
  </w:num>
  <w:num w:numId="9">
    <w:abstractNumId w:val="40"/>
  </w:num>
  <w:num w:numId="10">
    <w:abstractNumId w:val="21"/>
  </w:num>
  <w:num w:numId="11">
    <w:abstractNumId w:val="10"/>
  </w:num>
  <w:num w:numId="12">
    <w:abstractNumId w:val="18"/>
  </w:num>
  <w:num w:numId="13">
    <w:abstractNumId w:val="6"/>
  </w:num>
  <w:num w:numId="14">
    <w:abstractNumId w:val="20"/>
  </w:num>
  <w:num w:numId="15">
    <w:abstractNumId w:val="4"/>
  </w:num>
  <w:num w:numId="16">
    <w:abstractNumId w:val="35"/>
  </w:num>
  <w:num w:numId="17">
    <w:abstractNumId w:val="23"/>
  </w:num>
  <w:num w:numId="18">
    <w:abstractNumId w:val="24"/>
  </w:num>
  <w:num w:numId="19">
    <w:abstractNumId w:val="36"/>
  </w:num>
  <w:num w:numId="20">
    <w:abstractNumId w:val="37"/>
  </w:num>
  <w:num w:numId="21">
    <w:abstractNumId w:val="17"/>
  </w:num>
  <w:num w:numId="22">
    <w:abstractNumId w:val="1"/>
  </w:num>
  <w:num w:numId="23">
    <w:abstractNumId w:val="19"/>
  </w:num>
  <w:num w:numId="24">
    <w:abstractNumId w:val="12"/>
  </w:num>
  <w:num w:numId="25">
    <w:abstractNumId w:val="11"/>
  </w:num>
  <w:num w:numId="26">
    <w:abstractNumId w:val="0"/>
  </w:num>
  <w:num w:numId="27">
    <w:abstractNumId w:val="22"/>
  </w:num>
  <w:num w:numId="28">
    <w:abstractNumId w:val="13"/>
  </w:num>
  <w:num w:numId="29">
    <w:abstractNumId w:val="3"/>
  </w:num>
  <w:num w:numId="30">
    <w:abstractNumId w:val="25"/>
  </w:num>
  <w:num w:numId="31">
    <w:abstractNumId w:val="26"/>
  </w:num>
  <w:num w:numId="32">
    <w:abstractNumId w:val="27"/>
  </w:num>
  <w:num w:numId="33">
    <w:abstractNumId w:val="28"/>
  </w:num>
  <w:num w:numId="34">
    <w:abstractNumId w:val="29"/>
  </w:num>
  <w:num w:numId="35">
    <w:abstractNumId w:val="30"/>
  </w:num>
  <w:num w:numId="36">
    <w:abstractNumId w:val="8"/>
  </w:num>
  <w:num w:numId="37">
    <w:abstractNumId w:val="31"/>
  </w:num>
  <w:num w:numId="38">
    <w:abstractNumId w:val="34"/>
  </w:num>
  <w:num w:numId="39">
    <w:abstractNumId w:val="33"/>
  </w:num>
  <w:num w:numId="40">
    <w:abstractNumId w:val="32"/>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E6"/>
    <w:rsid w:val="00000963"/>
    <w:rsid w:val="00000991"/>
    <w:rsid w:val="00000EB0"/>
    <w:rsid w:val="00001021"/>
    <w:rsid w:val="0000367F"/>
    <w:rsid w:val="0000668A"/>
    <w:rsid w:val="000066DB"/>
    <w:rsid w:val="00007E5C"/>
    <w:rsid w:val="00010E3E"/>
    <w:rsid w:val="00011037"/>
    <w:rsid w:val="00013169"/>
    <w:rsid w:val="0001600C"/>
    <w:rsid w:val="000201DF"/>
    <w:rsid w:val="000219F1"/>
    <w:rsid w:val="000227EF"/>
    <w:rsid w:val="00022FAF"/>
    <w:rsid w:val="00023D3C"/>
    <w:rsid w:val="00026029"/>
    <w:rsid w:val="00026C2D"/>
    <w:rsid w:val="000273B1"/>
    <w:rsid w:val="0003015E"/>
    <w:rsid w:val="000320DA"/>
    <w:rsid w:val="000325E4"/>
    <w:rsid w:val="00035B11"/>
    <w:rsid w:val="00041DA0"/>
    <w:rsid w:val="00043C53"/>
    <w:rsid w:val="000450E8"/>
    <w:rsid w:val="00045449"/>
    <w:rsid w:val="00046447"/>
    <w:rsid w:val="00050A20"/>
    <w:rsid w:val="00052BB0"/>
    <w:rsid w:val="000549A5"/>
    <w:rsid w:val="00061BBB"/>
    <w:rsid w:val="0006291B"/>
    <w:rsid w:val="00063883"/>
    <w:rsid w:val="00063901"/>
    <w:rsid w:val="00064036"/>
    <w:rsid w:val="000647B0"/>
    <w:rsid w:val="000708EC"/>
    <w:rsid w:val="0007435F"/>
    <w:rsid w:val="0007574A"/>
    <w:rsid w:val="00076738"/>
    <w:rsid w:val="00076DB4"/>
    <w:rsid w:val="00077653"/>
    <w:rsid w:val="00077855"/>
    <w:rsid w:val="00077A48"/>
    <w:rsid w:val="00082D6A"/>
    <w:rsid w:val="00083039"/>
    <w:rsid w:val="00084BDA"/>
    <w:rsid w:val="0008501F"/>
    <w:rsid w:val="000877C0"/>
    <w:rsid w:val="00090545"/>
    <w:rsid w:val="000926E8"/>
    <w:rsid w:val="00092933"/>
    <w:rsid w:val="000934F7"/>
    <w:rsid w:val="000939BA"/>
    <w:rsid w:val="00094FA7"/>
    <w:rsid w:val="000953A8"/>
    <w:rsid w:val="00097703"/>
    <w:rsid w:val="00097D91"/>
    <w:rsid w:val="000A120C"/>
    <w:rsid w:val="000A27DE"/>
    <w:rsid w:val="000A2BA1"/>
    <w:rsid w:val="000A3A67"/>
    <w:rsid w:val="000A3B4F"/>
    <w:rsid w:val="000A3CB1"/>
    <w:rsid w:val="000A7CB4"/>
    <w:rsid w:val="000B00CF"/>
    <w:rsid w:val="000B020B"/>
    <w:rsid w:val="000B15D8"/>
    <w:rsid w:val="000B1944"/>
    <w:rsid w:val="000B3C72"/>
    <w:rsid w:val="000B3CD2"/>
    <w:rsid w:val="000B7D2C"/>
    <w:rsid w:val="000C0EF0"/>
    <w:rsid w:val="000C11C0"/>
    <w:rsid w:val="000C1585"/>
    <w:rsid w:val="000C2AD5"/>
    <w:rsid w:val="000C2DA1"/>
    <w:rsid w:val="000C520B"/>
    <w:rsid w:val="000C60E8"/>
    <w:rsid w:val="000C63EB"/>
    <w:rsid w:val="000C71B2"/>
    <w:rsid w:val="000D4F4B"/>
    <w:rsid w:val="000D505C"/>
    <w:rsid w:val="000D5791"/>
    <w:rsid w:val="000D6F45"/>
    <w:rsid w:val="000D7053"/>
    <w:rsid w:val="000E0032"/>
    <w:rsid w:val="000E193C"/>
    <w:rsid w:val="000E453D"/>
    <w:rsid w:val="000E6674"/>
    <w:rsid w:val="000F00DE"/>
    <w:rsid w:val="000F0A0B"/>
    <w:rsid w:val="000F3661"/>
    <w:rsid w:val="000F43AD"/>
    <w:rsid w:val="000F529F"/>
    <w:rsid w:val="000F550A"/>
    <w:rsid w:val="000F685F"/>
    <w:rsid w:val="00101BA8"/>
    <w:rsid w:val="00101E60"/>
    <w:rsid w:val="0010203B"/>
    <w:rsid w:val="001020C7"/>
    <w:rsid w:val="00102E68"/>
    <w:rsid w:val="00103413"/>
    <w:rsid w:val="00104864"/>
    <w:rsid w:val="00106403"/>
    <w:rsid w:val="001079F8"/>
    <w:rsid w:val="00107A08"/>
    <w:rsid w:val="00107D5F"/>
    <w:rsid w:val="001100FE"/>
    <w:rsid w:val="001107CE"/>
    <w:rsid w:val="00110EFA"/>
    <w:rsid w:val="00113710"/>
    <w:rsid w:val="001151A1"/>
    <w:rsid w:val="00120744"/>
    <w:rsid w:val="00121F47"/>
    <w:rsid w:val="00122390"/>
    <w:rsid w:val="001226D4"/>
    <w:rsid w:val="0012537A"/>
    <w:rsid w:val="001277DA"/>
    <w:rsid w:val="00130B19"/>
    <w:rsid w:val="00131AD8"/>
    <w:rsid w:val="001339CC"/>
    <w:rsid w:val="00135484"/>
    <w:rsid w:val="001376DF"/>
    <w:rsid w:val="00140313"/>
    <w:rsid w:val="001407F5"/>
    <w:rsid w:val="00140857"/>
    <w:rsid w:val="00140A72"/>
    <w:rsid w:val="00141966"/>
    <w:rsid w:val="00144F98"/>
    <w:rsid w:val="00145590"/>
    <w:rsid w:val="00147E9C"/>
    <w:rsid w:val="00150203"/>
    <w:rsid w:val="001505BB"/>
    <w:rsid w:val="00150B01"/>
    <w:rsid w:val="0015391D"/>
    <w:rsid w:val="00156DE5"/>
    <w:rsid w:val="00157659"/>
    <w:rsid w:val="00161F27"/>
    <w:rsid w:val="001669C6"/>
    <w:rsid w:val="00167FA0"/>
    <w:rsid w:val="00170BAF"/>
    <w:rsid w:val="0017145F"/>
    <w:rsid w:val="00172A27"/>
    <w:rsid w:val="00172AE6"/>
    <w:rsid w:val="001765B5"/>
    <w:rsid w:val="00182B00"/>
    <w:rsid w:val="00183743"/>
    <w:rsid w:val="0018583D"/>
    <w:rsid w:val="0018644B"/>
    <w:rsid w:val="001913DE"/>
    <w:rsid w:val="001942E4"/>
    <w:rsid w:val="00194E9F"/>
    <w:rsid w:val="001965BC"/>
    <w:rsid w:val="00197BBB"/>
    <w:rsid w:val="001A035E"/>
    <w:rsid w:val="001A0577"/>
    <w:rsid w:val="001A1CC8"/>
    <w:rsid w:val="001A33C0"/>
    <w:rsid w:val="001A3462"/>
    <w:rsid w:val="001A37E2"/>
    <w:rsid w:val="001A5822"/>
    <w:rsid w:val="001A5B05"/>
    <w:rsid w:val="001B088A"/>
    <w:rsid w:val="001B1AB7"/>
    <w:rsid w:val="001B4700"/>
    <w:rsid w:val="001B5152"/>
    <w:rsid w:val="001B51D3"/>
    <w:rsid w:val="001B5470"/>
    <w:rsid w:val="001B5775"/>
    <w:rsid w:val="001B6A5F"/>
    <w:rsid w:val="001B7396"/>
    <w:rsid w:val="001C1057"/>
    <w:rsid w:val="001C115C"/>
    <w:rsid w:val="001C15A0"/>
    <w:rsid w:val="001C1F99"/>
    <w:rsid w:val="001C26E7"/>
    <w:rsid w:val="001C5E2B"/>
    <w:rsid w:val="001C66A0"/>
    <w:rsid w:val="001C6C6B"/>
    <w:rsid w:val="001D0358"/>
    <w:rsid w:val="001D2E5C"/>
    <w:rsid w:val="001D40E3"/>
    <w:rsid w:val="001D4BB6"/>
    <w:rsid w:val="001D5DFA"/>
    <w:rsid w:val="001D65BE"/>
    <w:rsid w:val="001D7F99"/>
    <w:rsid w:val="001E0589"/>
    <w:rsid w:val="001E1E7F"/>
    <w:rsid w:val="001E3387"/>
    <w:rsid w:val="001E38B4"/>
    <w:rsid w:val="001E3985"/>
    <w:rsid w:val="001E69AB"/>
    <w:rsid w:val="001F1B71"/>
    <w:rsid w:val="001F2080"/>
    <w:rsid w:val="001F2844"/>
    <w:rsid w:val="001F286D"/>
    <w:rsid w:val="001F3CC4"/>
    <w:rsid w:val="001F3D25"/>
    <w:rsid w:val="001F3F59"/>
    <w:rsid w:val="001F614F"/>
    <w:rsid w:val="001F752E"/>
    <w:rsid w:val="001F77C9"/>
    <w:rsid w:val="001F7A6F"/>
    <w:rsid w:val="002014B3"/>
    <w:rsid w:val="002024B2"/>
    <w:rsid w:val="002033B0"/>
    <w:rsid w:val="002052CA"/>
    <w:rsid w:val="00205901"/>
    <w:rsid w:val="0020724B"/>
    <w:rsid w:val="002076F1"/>
    <w:rsid w:val="002109CC"/>
    <w:rsid w:val="002127DF"/>
    <w:rsid w:val="00212B90"/>
    <w:rsid w:val="00212E17"/>
    <w:rsid w:val="00213689"/>
    <w:rsid w:val="00214644"/>
    <w:rsid w:val="0021586F"/>
    <w:rsid w:val="00217795"/>
    <w:rsid w:val="002202C3"/>
    <w:rsid w:val="002218A9"/>
    <w:rsid w:val="002237B4"/>
    <w:rsid w:val="0022561D"/>
    <w:rsid w:val="00225A69"/>
    <w:rsid w:val="00225BEA"/>
    <w:rsid w:val="00226B7D"/>
    <w:rsid w:val="00230227"/>
    <w:rsid w:val="002334B4"/>
    <w:rsid w:val="0023413C"/>
    <w:rsid w:val="0023618B"/>
    <w:rsid w:val="002364FA"/>
    <w:rsid w:val="00236C3C"/>
    <w:rsid w:val="00241A73"/>
    <w:rsid w:val="002436F6"/>
    <w:rsid w:val="00244250"/>
    <w:rsid w:val="002462C4"/>
    <w:rsid w:val="002463AC"/>
    <w:rsid w:val="0024695A"/>
    <w:rsid w:val="00247364"/>
    <w:rsid w:val="002509F9"/>
    <w:rsid w:val="00251B73"/>
    <w:rsid w:val="00251BB6"/>
    <w:rsid w:val="00251C8B"/>
    <w:rsid w:val="00253A02"/>
    <w:rsid w:val="002548B3"/>
    <w:rsid w:val="002567DD"/>
    <w:rsid w:val="002578B5"/>
    <w:rsid w:val="00257E00"/>
    <w:rsid w:val="0026243D"/>
    <w:rsid w:val="00262478"/>
    <w:rsid w:val="002638CE"/>
    <w:rsid w:val="00264204"/>
    <w:rsid w:val="0026646C"/>
    <w:rsid w:val="00266EB3"/>
    <w:rsid w:val="0026753D"/>
    <w:rsid w:val="00267F7C"/>
    <w:rsid w:val="0027111E"/>
    <w:rsid w:val="00271AB2"/>
    <w:rsid w:val="00271EC7"/>
    <w:rsid w:val="0027298A"/>
    <w:rsid w:val="0027494B"/>
    <w:rsid w:val="002802E6"/>
    <w:rsid w:val="00281069"/>
    <w:rsid w:val="00281EFB"/>
    <w:rsid w:val="00282B83"/>
    <w:rsid w:val="00284C30"/>
    <w:rsid w:val="0028734D"/>
    <w:rsid w:val="00287D78"/>
    <w:rsid w:val="00290419"/>
    <w:rsid w:val="00290E0C"/>
    <w:rsid w:val="00291622"/>
    <w:rsid w:val="002A08C6"/>
    <w:rsid w:val="002A0DB2"/>
    <w:rsid w:val="002A1372"/>
    <w:rsid w:val="002A13CA"/>
    <w:rsid w:val="002A2BEB"/>
    <w:rsid w:val="002A2F02"/>
    <w:rsid w:val="002A483F"/>
    <w:rsid w:val="002A7214"/>
    <w:rsid w:val="002B055D"/>
    <w:rsid w:val="002B0725"/>
    <w:rsid w:val="002B117F"/>
    <w:rsid w:val="002B1823"/>
    <w:rsid w:val="002B2677"/>
    <w:rsid w:val="002B2FE9"/>
    <w:rsid w:val="002B3EC6"/>
    <w:rsid w:val="002B4423"/>
    <w:rsid w:val="002B4AFD"/>
    <w:rsid w:val="002B62AB"/>
    <w:rsid w:val="002B6513"/>
    <w:rsid w:val="002B65C7"/>
    <w:rsid w:val="002C099D"/>
    <w:rsid w:val="002C119D"/>
    <w:rsid w:val="002C14C0"/>
    <w:rsid w:val="002C2372"/>
    <w:rsid w:val="002C3105"/>
    <w:rsid w:val="002C31C6"/>
    <w:rsid w:val="002C6282"/>
    <w:rsid w:val="002C72B4"/>
    <w:rsid w:val="002D0857"/>
    <w:rsid w:val="002D0D5F"/>
    <w:rsid w:val="002D3647"/>
    <w:rsid w:val="002D3A95"/>
    <w:rsid w:val="002D4767"/>
    <w:rsid w:val="002D4F35"/>
    <w:rsid w:val="002D5528"/>
    <w:rsid w:val="002D5B6D"/>
    <w:rsid w:val="002D6318"/>
    <w:rsid w:val="002E08D5"/>
    <w:rsid w:val="002E0D5D"/>
    <w:rsid w:val="002E14D8"/>
    <w:rsid w:val="002E1A4E"/>
    <w:rsid w:val="002E3963"/>
    <w:rsid w:val="002E6407"/>
    <w:rsid w:val="002E6446"/>
    <w:rsid w:val="002E682E"/>
    <w:rsid w:val="002E75CB"/>
    <w:rsid w:val="002F0AF0"/>
    <w:rsid w:val="002F0F31"/>
    <w:rsid w:val="002F16FF"/>
    <w:rsid w:val="002F31E4"/>
    <w:rsid w:val="002F6E26"/>
    <w:rsid w:val="00301C9C"/>
    <w:rsid w:val="003038C6"/>
    <w:rsid w:val="00303951"/>
    <w:rsid w:val="00306A0E"/>
    <w:rsid w:val="00306A9D"/>
    <w:rsid w:val="00311894"/>
    <w:rsid w:val="0031377B"/>
    <w:rsid w:val="00314703"/>
    <w:rsid w:val="00314DB8"/>
    <w:rsid w:val="00315BF5"/>
    <w:rsid w:val="00317791"/>
    <w:rsid w:val="00321238"/>
    <w:rsid w:val="00321AEB"/>
    <w:rsid w:val="003228C3"/>
    <w:rsid w:val="00322F11"/>
    <w:rsid w:val="003252AB"/>
    <w:rsid w:val="00325605"/>
    <w:rsid w:val="00325B83"/>
    <w:rsid w:val="00326FBB"/>
    <w:rsid w:val="003278E1"/>
    <w:rsid w:val="003307E6"/>
    <w:rsid w:val="00330D7E"/>
    <w:rsid w:val="00330F6C"/>
    <w:rsid w:val="003310EF"/>
    <w:rsid w:val="003312CD"/>
    <w:rsid w:val="0033321D"/>
    <w:rsid w:val="00333768"/>
    <w:rsid w:val="00334B84"/>
    <w:rsid w:val="00334E39"/>
    <w:rsid w:val="003372DF"/>
    <w:rsid w:val="00337CDF"/>
    <w:rsid w:val="0034003B"/>
    <w:rsid w:val="00340974"/>
    <w:rsid w:val="00341B1B"/>
    <w:rsid w:val="00342795"/>
    <w:rsid w:val="003438FD"/>
    <w:rsid w:val="0034484F"/>
    <w:rsid w:val="00344A8A"/>
    <w:rsid w:val="00344DB7"/>
    <w:rsid w:val="00345B52"/>
    <w:rsid w:val="003508DA"/>
    <w:rsid w:val="00350B1E"/>
    <w:rsid w:val="0035115A"/>
    <w:rsid w:val="0035226B"/>
    <w:rsid w:val="003529D0"/>
    <w:rsid w:val="00353FC8"/>
    <w:rsid w:val="00360BB0"/>
    <w:rsid w:val="00362830"/>
    <w:rsid w:val="00363F53"/>
    <w:rsid w:val="00364D8F"/>
    <w:rsid w:val="003659B8"/>
    <w:rsid w:val="00366415"/>
    <w:rsid w:val="00367FAB"/>
    <w:rsid w:val="003701D9"/>
    <w:rsid w:val="00370354"/>
    <w:rsid w:val="00373B05"/>
    <w:rsid w:val="00373CA8"/>
    <w:rsid w:val="00374A12"/>
    <w:rsid w:val="00375FB1"/>
    <w:rsid w:val="00376B78"/>
    <w:rsid w:val="0038042A"/>
    <w:rsid w:val="00380D77"/>
    <w:rsid w:val="00380FC6"/>
    <w:rsid w:val="00382606"/>
    <w:rsid w:val="00382CD4"/>
    <w:rsid w:val="0038393C"/>
    <w:rsid w:val="0038495D"/>
    <w:rsid w:val="00384C8E"/>
    <w:rsid w:val="00385B92"/>
    <w:rsid w:val="003864DE"/>
    <w:rsid w:val="00387018"/>
    <w:rsid w:val="00391D4E"/>
    <w:rsid w:val="0039256A"/>
    <w:rsid w:val="003937E3"/>
    <w:rsid w:val="0039772D"/>
    <w:rsid w:val="00397B3B"/>
    <w:rsid w:val="003A17E9"/>
    <w:rsid w:val="003A1BBA"/>
    <w:rsid w:val="003A2935"/>
    <w:rsid w:val="003A2C12"/>
    <w:rsid w:val="003A3CEB"/>
    <w:rsid w:val="003A3D16"/>
    <w:rsid w:val="003A4264"/>
    <w:rsid w:val="003A58A1"/>
    <w:rsid w:val="003A5DB2"/>
    <w:rsid w:val="003B06A0"/>
    <w:rsid w:val="003B1FD2"/>
    <w:rsid w:val="003B21BF"/>
    <w:rsid w:val="003B2989"/>
    <w:rsid w:val="003B2F11"/>
    <w:rsid w:val="003B518F"/>
    <w:rsid w:val="003B585A"/>
    <w:rsid w:val="003B6B79"/>
    <w:rsid w:val="003B6CB2"/>
    <w:rsid w:val="003C0E6B"/>
    <w:rsid w:val="003C0EA9"/>
    <w:rsid w:val="003C26E0"/>
    <w:rsid w:val="003C2B54"/>
    <w:rsid w:val="003C2CED"/>
    <w:rsid w:val="003C4A6E"/>
    <w:rsid w:val="003C4B8F"/>
    <w:rsid w:val="003C54A3"/>
    <w:rsid w:val="003C5C92"/>
    <w:rsid w:val="003C659C"/>
    <w:rsid w:val="003C7E60"/>
    <w:rsid w:val="003D0A55"/>
    <w:rsid w:val="003D1A83"/>
    <w:rsid w:val="003D219D"/>
    <w:rsid w:val="003D2828"/>
    <w:rsid w:val="003D4089"/>
    <w:rsid w:val="003D57AF"/>
    <w:rsid w:val="003E0347"/>
    <w:rsid w:val="003E0FE8"/>
    <w:rsid w:val="003E2E6A"/>
    <w:rsid w:val="003E34B8"/>
    <w:rsid w:val="003E3BC1"/>
    <w:rsid w:val="003E4EEC"/>
    <w:rsid w:val="003E6321"/>
    <w:rsid w:val="003F1F1D"/>
    <w:rsid w:val="003F2C63"/>
    <w:rsid w:val="003F47F9"/>
    <w:rsid w:val="003F5B6B"/>
    <w:rsid w:val="003F6ED1"/>
    <w:rsid w:val="00401ECE"/>
    <w:rsid w:val="00403849"/>
    <w:rsid w:val="00403F21"/>
    <w:rsid w:val="004069C5"/>
    <w:rsid w:val="00412AD7"/>
    <w:rsid w:val="004130F0"/>
    <w:rsid w:val="00413D76"/>
    <w:rsid w:val="0041462B"/>
    <w:rsid w:val="00415753"/>
    <w:rsid w:val="00417735"/>
    <w:rsid w:val="00417F18"/>
    <w:rsid w:val="004204B0"/>
    <w:rsid w:val="00420EBA"/>
    <w:rsid w:val="00422E62"/>
    <w:rsid w:val="0042546B"/>
    <w:rsid w:val="0042564A"/>
    <w:rsid w:val="004263E5"/>
    <w:rsid w:val="004276AC"/>
    <w:rsid w:val="00430474"/>
    <w:rsid w:val="0043055C"/>
    <w:rsid w:val="00431AF3"/>
    <w:rsid w:val="004327B9"/>
    <w:rsid w:val="00433F62"/>
    <w:rsid w:val="0043540C"/>
    <w:rsid w:val="0043633F"/>
    <w:rsid w:val="00437EC7"/>
    <w:rsid w:val="00441A09"/>
    <w:rsid w:val="0044393D"/>
    <w:rsid w:val="00445447"/>
    <w:rsid w:val="00445AC5"/>
    <w:rsid w:val="00446DB7"/>
    <w:rsid w:val="0044741F"/>
    <w:rsid w:val="00451363"/>
    <w:rsid w:val="0045205C"/>
    <w:rsid w:val="004520BC"/>
    <w:rsid w:val="00453187"/>
    <w:rsid w:val="004537D7"/>
    <w:rsid w:val="00454578"/>
    <w:rsid w:val="00454974"/>
    <w:rsid w:val="00455037"/>
    <w:rsid w:val="00455553"/>
    <w:rsid w:val="00455C37"/>
    <w:rsid w:val="00456BDB"/>
    <w:rsid w:val="00456FF5"/>
    <w:rsid w:val="0045741A"/>
    <w:rsid w:val="00457740"/>
    <w:rsid w:val="00457BE8"/>
    <w:rsid w:val="00460FFC"/>
    <w:rsid w:val="00461E2E"/>
    <w:rsid w:val="0046261C"/>
    <w:rsid w:val="004635A7"/>
    <w:rsid w:val="00465D38"/>
    <w:rsid w:val="00471BF4"/>
    <w:rsid w:val="00471C6E"/>
    <w:rsid w:val="004741A1"/>
    <w:rsid w:val="00474A77"/>
    <w:rsid w:val="00476A61"/>
    <w:rsid w:val="004776AA"/>
    <w:rsid w:val="00482300"/>
    <w:rsid w:val="00483E53"/>
    <w:rsid w:val="004852DF"/>
    <w:rsid w:val="00485547"/>
    <w:rsid w:val="00487260"/>
    <w:rsid w:val="00487444"/>
    <w:rsid w:val="00487B8C"/>
    <w:rsid w:val="00491C84"/>
    <w:rsid w:val="0049314F"/>
    <w:rsid w:val="0049473C"/>
    <w:rsid w:val="00494C13"/>
    <w:rsid w:val="00495761"/>
    <w:rsid w:val="004957DC"/>
    <w:rsid w:val="00496746"/>
    <w:rsid w:val="00496750"/>
    <w:rsid w:val="00496866"/>
    <w:rsid w:val="00496884"/>
    <w:rsid w:val="00496FD4"/>
    <w:rsid w:val="004A06B1"/>
    <w:rsid w:val="004A1B9D"/>
    <w:rsid w:val="004A3289"/>
    <w:rsid w:val="004A4FB3"/>
    <w:rsid w:val="004A71DF"/>
    <w:rsid w:val="004A799B"/>
    <w:rsid w:val="004B2750"/>
    <w:rsid w:val="004B50CB"/>
    <w:rsid w:val="004B575E"/>
    <w:rsid w:val="004B5ED3"/>
    <w:rsid w:val="004B6DF5"/>
    <w:rsid w:val="004B6FEB"/>
    <w:rsid w:val="004C0B68"/>
    <w:rsid w:val="004C18D7"/>
    <w:rsid w:val="004C2C78"/>
    <w:rsid w:val="004C3831"/>
    <w:rsid w:val="004C38EE"/>
    <w:rsid w:val="004C5DC2"/>
    <w:rsid w:val="004C7F76"/>
    <w:rsid w:val="004D2D1C"/>
    <w:rsid w:val="004D4BAF"/>
    <w:rsid w:val="004D6D6B"/>
    <w:rsid w:val="004E034F"/>
    <w:rsid w:val="004E0B62"/>
    <w:rsid w:val="004E0F0F"/>
    <w:rsid w:val="004E2458"/>
    <w:rsid w:val="004E485C"/>
    <w:rsid w:val="004E79F4"/>
    <w:rsid w:val="004F1309"/>
    <w:rsid w:val="004F13CE"/>
    <w:rsid w:val="004F3148"/>
    <w:rsid w:val="004F3834"/>
    <w:rsid w:val="004F47F5"/>
    <w:rsid w:val="004F5B45"/>
    <w:rsid w:val="005021AA"/>
    <w:rsid w:val="0050275A"/>
    <w:rsid w:val="00502C62"/>
    <w:rsid w:val="0050358E"/>
    <w:rsid w:val="00503E0F"/>
    <w:rsid w:val="0050695C"/>
    <w:rsid w:val="0050728D"/>
    <w:rsid w:val="00510267"/>
    <w:rsid w:val="00511BCE"/>
    <w:rsid w:val="00512634"/>
    <w:rsid w:val="005136FC"/>
    <w:rsid w:val="0051380B"/>
    <w:rsid w:val="00513E3E"/>
    <w:rsid w:val="00517BA5"/>
    <w:rsid w:val="00520DFD"/>
    <w:rsid w:val="00521A16"/>
    <w:rsid w:val="00522367"/>
    <w:rsid w:val="00524A1D"/>
    <w:rsid w:val="00525AEE"/>
    <w:rsid w:val="00525F3D"/>
    <w:rsid w:val="00526587"/>
    <w:rsid w:val="005273B8"/>
    <w:rsid w:val="005319AE"/>
    <w:rsid w:val="00532391"/>
    <w:rsid w:val="00532D57"/>
    <w:rsid w:val="00540BA9"/>
    <w:rsid w:val="0054307E"/>
    <w:rsid w:val="0054489B"/>
    <w:rsid w:val="00544BD5"/>
    <w:rsid w:val="00544D1B"/>
    <w:rsid w:val="0054578B"/>
    <w:rsid w:val="0054704D"/>
    <w:rsid w:val="00550F20"/>
    <w:rsid w:val="00551D8F"/>
    <w:rsid w:val="00552888"/>
    <w:rsid w:val="005532D3"/>
    <w:rsid w:val="00555B6F"/>
    <w:rsid w:val="005606E6"/>
    <w:rsid w:val="00562022"/>
    <w:rsid w:val="005624D1"/>
    <w:rsid w:val="00562822"/>
    <w:rsid w:val="00562A3F"/>
    <w:rsid w:val="0056414C"/>
    <w:rsid w:val="00564ACB"/>
    <w:rsid w:val="00565904"/>
    <w:rsid w:val="00565AE4"/>
    <w:rsid w:val="00566623"/>
    <w:rsid w:val="0057102F"/>
    <w:rsid w:val="005723CE"/>
    <w:rsid w:val="0057344E"/>
    <w:rsid w:val="00574D19"/>
    <w:rsid w:val="00574FC6"/>
    <w:rsid w:val="0058075A"/>
    <w:rsid w:val="0058496E"/>
    <w:rsid w:val="00584E1B"/>
    <w:rsid w:val="00585D7B"/>
    <w:rsid w:val="00587792"/>
    <w:rsid w:val="005909D5"/>
    <w:rsid w:val="00593735"/>
    <w:rsid w:val="00593E57"/>
    <w:rsid w:val="00597497"/>
    <w:rsid w:val="00597CCB"/>
    <w:rsid w:val="005A0EE5"/>
    <w:rsid w:val="005A10E5"/>
    <w:rsid w:val="005A36BB"/>
    <w:rsid w:val="005A4365"/>
    <w:rsid w:val="005A43AF"/>
    <w:rsid w:val="005A502B"/>
    <w:rsid w:val="005A581F"/>
    <w:rsid w:val="005A6A95"/>
    <w:rsid w:val="005A6AFB"/>
    <w:rsid w:val="005A6ED8"/>
    <w:rsid w:val="005B0EEE"/>
    <w:rsid w:val="005B1321"/>
    <w:rsid w:val="005B1A9C"/>
    <w:rsid w:val="005B2005"/>
    <w:rsid w:val="005B5A1B"/>
    <w:rsid w:val="005B68A3"/>
    <w:rsid w:val="005B6D27"/>
    <w:rsid w:val="005B71AA"/>
    <w:rsid w:val="005C01A1"/>
    <w:rsid w:val="005C19A0"/>
    <w:rsid w:val="005C1F1C"/>
    <w:rsid w:val="005C46F5"/>
    <w:rsid w:val="005C48C0"/>
    <w:rsid w:val="005C52FE"/>
    <w:rsid w:val="005C54A3"/>
    <w:rsid w:val="005C5901"/>
    <w:rsid w:val="005C596A"/>
    <w:rsid w:val="005C5B5E"/>
    <w:rsid w:val="005C689B"/>
    <w:rsid w:val="005C69A0"/>
    <w:rsid w:val="005C7798"/>
    <w:rsid w:val="005D0029"/>
    <w:rsid w:val="005D0E87"/>
    <w:rsid w:val="005D18C6"/>
    <w:rsid w:val="005D29CC"/>
    <w:rsid w:val="005D374F"/>
    <w:rsid w:val="005D4644"/>
    <w:rsid w:val="005D69F3"/>
    <w:rsid w:val="005D6CC5"/>
    <w:rsid w:val="005D7730"/>
    <w:rsid w:val="005D7944"/>
    <w:rsid w:val="005E09B0"/>
    <w:rsid w:val="005E28AA"/>
    <w:rsid w:val="005E409B"/>
    <w:rsid w:val="005E45B3"/>
    <w:rsid w:val="005E4646"/>
    <w:rsid w:val="005E57AF"/>
    <w:rsid w:val="005E7158"/>
    <w:rsid w:val="005E7C10"/>
    <w:rsid w:val="005F06C9"/>
    <w:rsid w:val="005F07D6"/>
    <w:rsid w:val="005F2561"/>
    <w:rsid w:val="005F5E4C"/>
    <w:rsid w:val="005F61E4"/>
    <w:rsid w:val="005F6BAA"/>
    <w:rsid w:val="006000A1"/>
    <w:rsid w:val="00601669"/>
    <w:rsid w:val="0060598B"/>
    <w:rsid w:val="00606216"/>
    <w:rsid w:val="00607BFB"/>
    <w:rsid w:val="006109C4"/>
    <w:rsid w:val="00610FB1"/>
    <w:rsid w:val="00611CB7"/>
    <w:rsid w:val="00612F81"/>
    <w:rsid w:val="006138EB"/>
    <w:rsid w:val="00614008"/>
    <w:rsid w:val="00614BB9"/>
    <w:rsid w:val="006155A4"/>
    <w:rsid w:val="00615F7D"/>
    <w:rsid w:val="00616F3E"/>
    <w:rsid w:val="00617756"/>
    <w:rsid w:val="00622866"/>
    <w:rsid w:val="00624E95"/>
    <w:rsid w:val="006252E2"/>
    <w:rsid w:val="00625A89"/>
    <w:rsid w:val="0062775A"/>
    <w:rsid w:val="00631A06"/>
    <w:rsid w:val="006330FA"/>
    <w:rsid w:val="0063528C"/>
    <w:rsid w:val="00635DCF"/>
    <w:rsid w:val="00637E0D"/>
    <w:rsid w:val="00641C75"/>
    <w:rsid w:val="00641FB5"/>
    <w:rsid w:val="006432FC"/>
    <w:rsid w:val="00644CD8"/>
    <w:rsid w:val="00646700"/>
    <w:rsid w:val="00647488"/>
    <w:rsid w:val="006511D0"/>
    <w:rsid w:val="00653EEA"/>
    <w:rsid w:val="006553EC"/>
    <w:rsid w:val="00656909"/>
    <w:rsid w:val="00660723"/>
    <w:rsid w:val="00660D02"/>
    <w:rsid w:val="00660EEF"/>
    <w:rsid w:val="00661601"/>
    <w:rsid w:val="006619C8"/>
    <w:rsid w:val="00662598"/>
    <w:rsid w:val="00663338"/>
    <w:rsid w:val="00665B34"/>
    <w:rsid w:val="00666513"/>
    <w:rsid w:val="00666A2E"/>
    <w:rsid w:val="006723DB"/>
    <w:rsid w:val="0067262D"/>
    <w:rsid w:val="00675987"/>
    <w:rsid w:val="00676798"/>
    <w:rsid w:val="00677C33"/>
    <w:rsid w:val="0068099D"/>
    <w:rsid w:val="00681D73"/>
    <w:rsid w:val="00682094"/>
    <w:rsid w:val="00682B74"/>
    <w:rsid w:val="00683407"/>
    <w:rsid w:val="00684F86"/>
    <w:rsid w:val="00686471"/>
    <w:rsid w:val="00687B36"/>
    <w:rsid w:val="00691838"/>
    <w:rsid w:val="00693C97"/>
    <w:rsid w:val="00694043"/>
    <w:rsid w:val="00694961"/>
    <w:rsid w:val="00694983"/>
    <w:rsid w:val="0069652F"/>
    <w:rsid w:val="0069796A"/>
    <w:rsid w:val="00697A04"/>
    <w:rsid w:val="006A2027"/>
    <w:rsid w:val="006A26A2"/>
    <w:rsid w:val="006A2931"/>
    <w:rsid w:val="006A2FE6"/>
    <w:rsid w:val="006A35D1"/>
    <w:rsid w:val="006A41E5"/>
    <w:rsid w:val="006A4926"/>
    <w:rsid w:val="006A5BAF"/>
    <w:rsid w:val="006A79A2"/>
    <w:rsid w:val="006A7BC7"/>
    <w:rsid w:val="006B1BCD"/>
    <w:rsid w:val="006B3DED"/>
    <w:rsid w:val="006B58E3"/>
    <w:rsid w:val="006B6CEC"/>
    <w:rsid w:val="006B7C21"/>
    <w:rsid w:val="006B7C91"/>
    <w:rsid w:val="006C190D"/>
    <w:rsid w:val="006C1927"/>
    <w:rsid w:val="006C234E"/>
    <w:rsid w:val="006C236F"/>
    <w:rsid w:val="006C3200"/>
    <w:rsid w:val="006C498E"/>
    <w:rsid w:val="006C6844"/>
    <w:rsid w:val="006C6AF1"/>
    <w:rsid w:val="006C6E90"/>
    <w:rsid w:val="006C7A0C"/>
    <w:rsid w:val="006D202B"/>
    <w:rsid w:val="006D2B7E"/>
    <w:rsid w:val="006D31CB"/>
    <w:rsid w:val="006D3A4A"/>
    <w:rsid w:val="006D43BC"/>
    <w:rsid w:val="006D53DC"/>
    <w:rsid w:val="006D7633"/>
    <w:rsid w:val="006E2664"/>
    <w:rsid w:val="006E46FB"/>
    <w:rsid w:val="006E6677"/>
    <w:rsid w:val="006E70E9"/>
    <w:rsid w:val="006F021C"/>
    <w:rsid w:val="006F51E9"/>
    <w:rsid w:val="006F524D"/>
    <w:rsid w:val="006F603A"/>
    <w:rsid w:val="006F715C"/>
    <w:rsid w:val="006F7476"/>
    <w:rsid w:val="0070012C"/>
    <w:rsid w:val="00700FFC"/>
    <w:rsid w:val="007018E0"/>
    <w:rsid w:val="0070269C"/>
    <w:rsid w:val="007030FD"/>
    <w:rsid w:val="007037EE"/>
    <w:rsid w:val="007060FF"/>
    <w:rsid w:val="0070656D"/>
    <w:rsid w:val="00706F76"/>
    <w:rsid w:val="007073D6"/>
    <w:rsid w:val="0071027C"/>
    <w:rsid w:val="00710714"/>
    <w:rsid w:val="00711F6C"/>
    <w:rsid w:val="00713E97"/>
    <w:rsid w:val="007163FA"/>
    <w:rsid w:val="00721FFA"/>
    <w:rsid w:val="00724F5E"/>
    <w:rsid w:val="007259AC"/>
    <w:rsid w:val="0072609D"/>
    <w:rsid w:val="0072731F"/>
    <w:rsid w:val="0073033F"/>
    <w:rsid w:val="00730BE8"/>
    <w:rsid w:val="00731BCA"/>
    <w:rsid w:val="00732A3A"/>
    <w:rsid w:val="00733A7E"/>
    <w:rsid w:val="00736F42"/>
    <w:rsid w:val="007422E0"/>
    <w:rsid w:val="00744A7A"/>
    <w:rsid w:val="0074518A"/>
    <w:rsid w:val="007451A0"/>
    <w:rsid w:val="007465CC"/>
    <w:rsid w:val="00746C7E"/>
    <w:rsid w:val="00746EA5"/>
    <w:rsid w:val="0075060C"/>
    <w:rsid w:val="007511BD"/>
    <w:rsid w:val="00753690"/>
    <w:rsid w:val="00753826"/>
    <w:rsid w:val="00754338"/>
    <w:rsid w:val="00755654"/>
    <w:rsid w:val="00755E43"/>
    <w:rsid w:val="00756220"/>
    <w:rsid w:val="00756FBC"/>
    <w:rsid w:val="00761EB9"/>
    <w:rsid w:val="0076255F"/>
    <w:rsid w:val="00762C3A"/>
    <w:rsid w:val="007633EB"/>
    <w:rsid w:val="007648AE"/>
    <w:rsid w:val="007657FF"/>
    <w:rsid w:val="007659C8"/>
    <w:rsid w:val="0076662A"/>
    <w:rsid w:val="00766935"/>
    <w:rsid w:val="00766C12"/>
    <w:rsid w:val="00767B91"/>
    <w:rsid w:val="007700CE"/>
    <w:rsid w:val="0077050F"/>
    <w:rsid w:val="00770A35"/>
    <w:rsid w:val="00770DDF"/>
    <w:rsid w:val="00773309"/>
    <w:rsid w:val="00775763"/>
    <w:rsid w:val="00776C06"/>
    <w:rsid w:val="00776D32"/>
    <w:rsid w:val="00776FCD"/>
    <w:rsid w:val="00777974"/>
    <w:rsid w:val="0078060D"/>
    <w:rsid w:val="007806FB"/>
    <w:rsid w:val="00781BBF"/>
    <w:rsid w:val="0078230A"/>
    <w:rsid w:val="007837FF"/>
    <w:rsid w:val="00783909"/>
    <w:rsid w:val="0078631B"/>
    <w:rsid w:val="0079095E"/>
    <w:rsid w:val="00790FEF"/>
    <w:rsid w:val="00791660"/>
    <w:rsid w:val="00792AED"/>
    <w:rsid w:val="00793D34"/>
    <w:rsid w:val="0079451B"/>
    <w:rsid w:val="00794FC5"/>
    <w:rsid w:val="007970F8"/>
    <w:rsid w:val="00797C57"/>
    <w:rsid w:val="007A1378"/>
    <w:rsid w:val="007A1AAE"/>
    <w:rsid w:val="007A3BFD"/>
    <w:rsid w:val="007A4BB3"/>
    <w:rsid w:val="007A4C07"/>
    <w:rsid w:val="007A792D"/>
    <w:rsid w:val="007B08E1"/>
    <w:rsid w:val="007B0E2F"/>
    <w:rsid w:val="007B38FC"/>
    <w:rsid w:val="007B4C2E"/>
    <w:rsid w:val="007B51DB"/>
    <w:rsid w:val="007B7BED"/>
    <w:rsid w:val="007C0AAF"/>
    <w:rsid w:val="007C1C4A"/>
    <w:rsid w:val="007C1D5C"/>
    <w:rsid w:val="007C1F52"/>
    <w:rsid w:val="007C242D"/>
    <w:rsid w:val="007C2FEC"/>
    <w:rsid w:val="007C4238"/>
    <w:rsid w:val="007C4409"/>
    <w:rsid w:val="007C4B94"/>
    <w:rsid w:val="007C5CCA"/>
    <w:rsid w:val="007C7010"/>
    <w:rsid w:val="007C7E5F"/>
    <w:rsid w:val="007C7F6B"/>
    <w:rsid w:val="007C7F9E"/>
    <w:rsid w:val="007C7FEB"/>
    <w:rsid w:val="007D16FC"/>
    <w:rsid w:val="007D35CD"/>
    <w:rsid w:val="007D5B79"/>
    <w:rsid w:val="007D6EB1"/>
    <w:rsid w:val="007D7CCB"/>
    <w:rsid w:val="007E2AFF"/>
    <w:rsid w:val="007E3133"/>
    <w:rsid w:val="007E3814"/>
    <w:rsid w:val="007E3D8B"/>
    <w:rsid w:val="007E4298"/>
    <w:rsid w:val="007E5081"/>
    <w:rsid w:val="007E5E5D"/>
    <w:rsid w:val="007E6FA6"/>
    <w:rsid w:val="007F168E"/>
    <w:rsid w:val="007F2742"/>
    <w:rsid w:val="007F2BDF"/>
    <w:rsid w:val="007F57D3"/>
    <w:rsid w:val="00800CE3"/>
    <w:rsid w:val="008018F2"/>
    <w:rsid w:val="00801CFE"/>
    <w:rsid w:val="0080278B"/>
    <w:rsid w:val="0080323C"/>
    <w:rsid w:val="00803A54"/>
    <w:rsid w:val="00804F09"/>
    <w:rsid w:val="0080520B"/>
    <w:rsid w:val="00805F37"/>
    <w:rsid w:val="008078D0"/>
    <w:rsid w:val="00807AAF"/>
    <w:rsid w:val="0081023E"/>
    <w:rsid w:val="008140AB"/>
    <w:rsid w:val="00815159"/>
    <w:rsid w:val="008158ED"/>
    <w:rsid w:val="00816F99"/>
    <w:rsid w:val="00817B88"/>
    <w:rsid w:val="0082031F"/>
    <w:rsid w:val="00820D39"/>
    <w:rsid w:val="0082343E"/>
    <w:rsid w:val="0082476D"/>
    <w:rsid w:val="00825E43"/>
    <w:rsid w:val="008261FB"/>
    <w:rsid w:val="0082759C"/>
    <w:rsid w:val="00827AAB"/>
    <w:rsid w:val="00832707"/>
    <w:rsid w:val="00832C1B"/>
    <w:rsid w:val="0083363D"/>
    <w:rsid w:val="00834F48"/>
    <w:rsid w:val="00835F9D"/>
    <w:rsid w:val="0083789B"/>
    <w:rsid w:val="00842B14"/>
    <w:rsid w:val="008451E0"/>
    <w:rsid w:val="0084595C"/>
    <w:rsid w:val="00845AF6"/>
    <w:rsid w:val="00845EB6"/>
    <w:rsid w:val="008473D5"/>
    <w:rsid w:val="008515D1"/>
    <w:rsid w:val="00851E4F"/>
    <w:rsid w:val="008538A3"/>
    <w:rsid w:val="00856430"/>
    <w:rsid w:val="008570AC"/>
    <w:rsid w:val="00863564"/>
    <w:rsid w:val="00863CD0"/>
    <w:rsid w:val="00864B49"/>
    <w:rsid w:val="00866E42"/>
    <w:rsid w:val="0087165E"/>
    <w:rsid w:val="008734CB"/>
    <w:rsid w:val="00875957"/>
    <w:rsid w:val="008773D5"/>
    <w:rsid w:val="00877E8A"/>
    <w:rsid w:val="008854D4"/>
    <w:rsid w:val="00885DBC"/>
    <w:rsid w:val="008860A8"/>
    <w:rsid w:val="008861BA"/>
    <w:rsid w:val="00886B0C"/>
    <w:rsid w:val="00886C67"/>
    <w:rsid w:val="0088719E"/>
    <w:rsid w:val="00893360"/>
    <w:rsid w:val="008A0D86"/>
    <w:rsid w:val="008A222B"/>
    <w:rsid w:val="008A72D9"/>
    <w:rsid w:val="008B1C11"/>
    <w:rsid w:val="008B1DC6"/>
    <w:rsid w:val="008B326A"/>
    <w:rsid w:val="008B46EB"/>
    <w:rsid w:val="008B4CD5"/>
    <w:rsid w:val="008B4D1B"/>
    <w:rsid w:val="008B6922"/>
    <w:rsid w:val="008B7E81"/>
    <w:rsid w:val="008C0D39"/>
    <w:rsid w:val="008C1B2A"/>
    <w:rsid w:val="008C1BE9"/>
    <w:rsid w:val="008C23BE"/>
    <w:rsid w:val="008C35A2"/>
    <w:rsid w:val="008C390E"/>
    <w:rsid w:val="008C49CA"/>
    <w:rsid w:val="008C7271"/>
    <w:rsid w:val="008D112F"/>
    <w:rsid w:val="008D2D34"/>
    <w:rsid w:val="008D2F69"/>
    <w:rsid w:val="008D34C5"/>
    <w:rsid w:val="008D3CB4"/>
    <w:rsid w:val="008D5EB7"/>
    <w:rsid w:val="008D603F"/>
    <w:rsid w:val="008E00AC"/>
    <w:rsid w:val="008E2B31"/>
    <w:rsid w:val="008E36BB"/>
    <w:rsid w:val="008E5C1E"/>
    <w:rsid w:val="008E5C28"/>
    <w:rsid w:val="008E6E81"/>
    <w:rsid w:val="008E721C"/>
    <w:rsid w:val="008E7F88"/>
    <w:rsid w:val="008F252C"/>
    <w:rsid w:val="008F337A"/>
    <w:rsid w:val="008F39C5"/>
    <w:rsid w:val="008F6E86"/>
    <w:rsid w:val="008F7174"/>
    <w:rsid w:val="009003DE"/>
    <w:rsid w:val="0090242F"/>
    <w:rsid w:val="00903C96"/>
    <w:rsid w:val="00906467"/>
    <w:rsid w:val="00906FED"/>
    <w:rsid w:val="0091029B"/>
    <w:rsid w:val="00910855"/>
    <w:rsid w:val="00912301"/>
    <w:rsid w:val="00916F35"/>
    <w:rsid w:val="00921527"/>
    <w:rsid w:val="00922D06"/>
    <w:rsid w:val="00922E0D"/>
    <w:rsid w:val="00924190"/>
    <w:rsid w:val="00924445"/>
    <w:rsid w:val="00924CED"/>
    <w:rsid w:val="00934ADD"/>
    <w:rsid w:val="009372E0"/>
    <w:rsid w:val="00937A67"/>
    <w:rsid w:val="00940328"/>
    <w:rsid w:val="0094217F"/>
    <w:rsid w:val="00943F2B"/>
    <w:rsid w:val="0094457D"/>
    <w:rsid w:val="009523B5"/>
    <w:rsid w:val="00952E6F"/>
    <w:rsid w:val="00954D99"/>
    <w:rsid w:val="00955C65"/>
    <w:rsid w:val="009567F8"/>
    <w:rsid w:val="00956C90"/>
    <w:rsid w:val="009570D9"/>
    <w:rsid w:val="00957470"/>
    <w:rsid w:val="009614AE"/>
    <w:rsid w:val="00961DB0"/>
    <w:rsid w:val="00963DCB"/>
    <w:rsid w:val="0096548D"/>
    <w:rsid w:val="00966E62"/>
    <w:rsid w:val="00971CC2"/>
    <w:rsid w:val="009730AB"/>
    <w:rsid w:val="009749FB"/>
    <w:rsid w:val="00976E94"/>
    <w:rsid w:val="0097705F"/>
    <w:rsid w:val="00980FE3"/>
    <w:rsid w:val="00986B93"/>
    <w:rsid w:val="00987609"/>
    <w:rsid w:val="0099106E"/>
    <w:rsid w:val="009918B6"/>
    <w:rsid w:val="009919F2"/>
    <w:rsid w:val="009929D3"/>
    <w:rsid w:val="009944F4"/>
    <w:rsid w:val="0099482F"/>
    <w:rsid w:val="00995F06"/>
    <w:rsid w:val="00995F3B"/>
    <w:rsid w:val="009968AA"/>
    <w:rsid w:val="00996D51"/>
    <w:rsid w:val="009A0AE4"/>
    <w:rsid w:val="009A0F35"/>
    <w:rsid w:val="009A16E7"/>
    <w:rsid w:val="009A288F"/>
    <w:rsid w:val="009A2C14"/>
    <w:rsid w:val="009A3EAC"/>
    <w:rsid w:val="009A41D7"/>
    <w:rsid w:val="009A649E"/>
    <w:rsid w:val="009A6862"/>
    <w:rsid w:val="009A6D79"/>
    <w:rsid w:val="009A79FD"/>
    <w:rsid w:val="009B063C"/>
    <w:rsid w:val="009B2125"/>
    <w:rsid w:val="009B253D"/>
    <w:rsid w:val="009B35DE"/>
    <w:rsid w:val="009B58E0"/>
    <w:rsid w:val="009B6486"/>
    <w:rsid w:val="009B674F"/>
    <w:rsid w:val="009B79FF"/>
    <w:rsid w:val="009B7D4D"/>
    <w:rsid w:val="009C14F0"/>
    <w:rsid w:val="009C5291"/>
    <w:rsid w:val="009C53FF"/>
    <w:rsid w:val="009C5AEF"/>
    <w:rsid w:val="009C786A"/>
    <w:rsid w:val="009D494E"/>
    <w:rsid w:val="009D5F2A"/>
    <w:rsid w:val="009D602B"/>
    <w:rsid w:val="009D7DD2"/>
    <w:rsid w:val="009E17BE"/>
    <w:rsid w:val="009E3775"/>
    <w:rsid w:val="009E6183"/>
    <w:rsid w:val="009E649C"/>
    <w:rsid w:val="009F2713"/>
    <w:rsid w:val="009F338B"/>
    <w:rsid w:val="009F4142"/>
    <w:rsid w:val="009F4F8C"/>
    <w:rsid w:val="00A00BB9"/>
    <w:rsid w:val="00A01700"/>
    <w:rsid w:val="00A01811"/>
    <w:rsid w:val="00A01E4F"/>
    <w:rsid w:val="00A02283"/>
    <w:rsid w:val="00A0263D"/>
    <w:rsid w:val="00A05F08"/>
    <w:rsid w:val="00A113F5"/>
    <w:rsid w:val="00A12770"/>
    <w:rsid w:val="00A132D3"/>
    <w:rsid w:val="00A1440E"/>
    <w:rsid w:val="00A1487B"/>
    <w:rsid w:val="00A15DF2"/>
    <w:rsid w:val="00A1601F"/>
    <w:rsid w:val="00A16ABB"/>
    <w:rsid w:val="00A1795A"/>
    <w:rsid w:val="00A17E02"/>
    <w:rsid w:val="00A2007B"/>
    <w:rsid w:val="00A219CF"/>
    <w:rsid w:val="00A21E8D"/>
    <w:rsid w:val="00A23581"/>
    <w:rsid w:val="00A23C69"/>
    <w:rsid w:val="00A24D1C"/>
    <w:rsid w:val="00A24F91"/>
    <w:rsid w:val="00A25FEC"/>
    <w:rsid w:val="00A2709C"/>
    <w:rsid w:val="00A3055E"/>
    <w:rsid w:val="00A30BD1"/>
    <w:rsid w:val="00A33983"/>
    <w:rsid w:val="00A346AD"/>
    <w:rsid w:val="00A357D5"/>
    <w:rsid w:val="00A36289"/>
    <w:rsid w:val="00A40149"/>
    <w:rsid w:val="00A407DC"/>
    <w:rsid w:val="00A41B57"/>
    <w:rsid w:val="00A42D08"/>
    <w:rsid w:val="00A43A72"/>
    <w:rsid w:val="00A44560"/>
    <w:rsid w:val="00A4489B"/>
    <w:rsid w:val="00A46685"/>
    <w:rsid w:val="00A515D4"/>
    <w:rsid w:val="00A5196E"/>
    <w:rsid w:val="00A51A7C"/>
    <w:rsid w:val="00A527EF"/>
    <w:rsid w:val="00A53F99"/>
    <w:rsid w:val="00A54DEF"/>
    <w:rsid w:val="00A554FB"/>
    <w:rsid w:val="00A55DAF"/>
    <w:rsid w:val="00A573E4"/>
    <w:rsid w:val="00A62926"/>
    <w:rsid w:val="00A63375"/>
    <w:rsid w:val="00A640E3"/>
    <w:rsid w:val="00A647DB"/>
    <w:rsid w:val="00A64F65"/>
    <w:rsid w:val="00A65D97"/>
    <w:rsid w:val="00A66B3C"/>
    <w:rsid w:val="00A7069D"/>
    <w:rsid w:val="00A70D61"/>
    <w:rsid w:val="00A7117C"/>
    <w:rsid w:val="00A711C2"/>
    <w:rsid w:val="00A72EE0"/>
    <w:rsid w:val="00A741F6"/>
    <w:rsid w:val="00A74424"/>
    <w:rsid w:val="00A74B9E"/>
    <w:rsid w:val="00A775D7"/>
    <w:rsid w:val="00A77AA9"/>
    <w:rsid w:val="00A816A8"/>
    <w:rsid w:val="00A82914"/>
    <w:rsid w:val="00A83774"/>
    <w:rsid w:val="00A83DDB"/>
    <w:rsid w:val="00A849B1"/>
    <w:rsid w:val="00A8511C"/>
    <w:rsid w:val="00A8531E"/>
    <w:rsid w:val="00A85EE1"/>
    <w:rsid w:val="00A86C2F"/>
    <w:rsid w:val="00A87036"/>
    <w:rsid w:val="00A90D43"/>
    <w:rsid w:val="00A90F06"/>
    <w:rsid w:val="00A94746"/>
    <w:rsid w:val="00A95378"/>
    <w:rsid w:val="00A957BE"/>
    <w:rsid w:val="00A95CB7"/>
    <w:rsid w:val="00A96357"/>
    <w:rsid w:val="00A96639"/>
    <w:rsid w:val="00A9776B"/>
    <w:rsid w:val="00A97EF4"/>
    <w:rsid w:val="00AA707D"/>
    <w:rsid w:val="00AB13BE"/>
    <w:rsid w:val="00AB2991"/>
    <w:rsid w:val="00AB3A4E"/>
    <w:rsid w:val="00AB568F"/>
    <w:rsid w:val="00AC109E"/>
    <w:rsid w:val="00AC2402"/>
    <w:rsid w:val="00AC36F5"/>
    <w:rsid w:val="00AC51A6"/>
    <w:rsid w:val="00AC5564"/>
    <w:rsid w:val="00AC6E1E"/>
    <w:rsid w:val="00AC6F4E"/>
    <w:rsid w:val="00AD141D"/>
    <w:rsid w:val="00AD192C"/>
    <w:rsid w:val="00AD3337"/>
    <w:rsid w:val="00AD34F9"/>
    <w:rsid w:val="00AD39CA"/>
    <w:rsid w:val="00AD4465"/>
    <w:rsid w:val="00AD4F1D"/>
    <w:rsid w:val="00AD62D1"/>
    <w:rsid w:val="00AD690B"/>
    <w:rsid w:val="00AD79D8"/>
    <w:rsid w:val="00AE0958"/>
    <w:rsid w:val="00AE0AC4"/>
    <w:rsid w:val="00AE33D1"/>
    <w:rsid w:val="00AE3678"/>
    <w:rsid w:val="00AE36CC"/>
    <w:rsid w:val="00AE3B6B"/>
    <w:rsid w:val="00AE3FD2"/>
    <w:rsid w:val="00AE45D2"/>
    <w:rsid w:val="00AE55FB"/>
    <w:rsid w:val="00AE62E9"/>
    <w:rsid w:val="00AF3522"/>
    <w:rsid w:val="00AF3F94"/>
    <w:rsid w:val="00AF4BDF"/>
    <w:rsid w:val="00B03E4B"/>
    <w:rsid w:val="00B04BE3"/>
    <w:rsid w:val="00B051D2"/>
    <w:rsid w:val="00B06A48"/>
    <w:rsid w:val="00B073F7"/>
    <w:rsid w:val="00B10670"/>
    <w:rsid w:val="00B10ED8"/>
    <w:rsid w:val="00B10F64"/>
    <w:rsid w:val="00B11177"/>
    <w:rsid w:val="00B15E51"/>
    <w:rsid w:val="00B21344"/>
    <w:rsid w:val="00B219F8"/>
    <w:rsid w:val="00B221AB"/>
    <w:rsid w:val="00B23885"/>
    <w:rsid w:val="00B239B8"/>
    <w:rsid w:val="00B24197"/>
    <w:rsid w:val="00B24339"/>
    <w:rsid w:val="00B24AF0"/>
    <w:rsid w:val="00B25109"/>
    <w:rsid w:val="00B253AF"/>
    <w:rsid w:val="00B27906"/>
    <w:rsid w:val="00B30598"/>
    <w:rsid w:val="00B3216D"/>
    <w:rsid w:val="00B340F4"/>
    <w:rsid w:val="00B35787"/>
    <w:rsid w:val="00B36B6F"/>
    <w:rsid w:val="00B40B0D"/>
    <w:rsid w:val="00B40CAC"/>
    <w:rsid w:val="00B42B4A"/>
    <w:rsid w:val="00B437E3"/>
    <w:rsid w:val="00B4456A"/>
    <w:rsid w:val="00B50223"/>
    <w:rsid w:val="00B5038B"/>
    <w:rsid w:val="00B52689"/>
    <w:rsid w:val="00B54BE6"/>
    <w:rsid w:val="00B55909"/>
    <w:rsid w:val="00B55D87"/>
    <w:rsid w:val="00B572EC"/>
    <w:rsid w:val="00B6377B"/>
    <w:rsid w:val="00B65E17"/>
    <w:rsid w:val="00B66DE5"/>
    <w:rsid w:val="00B67110"/>
    <w:rsid w:val="00B67D47"/>
    <w:rsid w:val="00B67F53"/>
    <w:rsid w:val="00B70719"/>
    <w:rsid w:val="00B7127F"/>
    <w:rsid w:val="00B713F5"/>
    <w:rsid w:val="00B72256"/>
    <w:rsid w:val="00B73279"/>
    <w:rsid w:val="00B73564"/>
    <w:rsid w:val="00B74062"/>
    <w:rsid w:val="00B8002B"/>
    <w:rsid w:val="00B805E2"/>
    <w:rsid w:val="00B80B5A"/>
    <w:rsid w:val="00B817C0"/>
    <w:rsid w:val="00B81F36"/>
    <w:rsid w:val="00B81FD7"/>
    <w:rsid w:val="00B8242C"/>
    <w:rsid w:val="00B82AB7"/>
    <w:rsid w:val="00B82DD6"/>
    <w:rsid w:val="00B83093"/>
    <w:rsid w:val="00B8438E"/>
    <w:rsid w:val="00B87F43"/>
    <w:rsid w:val="00B9091B"/>
    <w:rsid w:val="00B91533"/>
    <w:rsid w:val="00B935D0"/>
    <w:rsid w:val="00B935F0"/>
    <w:rsid w:val="00B945A8"/>
    <w:rsid w:val="00B9735D"/>
    <w:rsid w:val="00BA005E"/>
    <w:rsid w:val="00BA049C"/>
    <w:rsid w:val="00BA3C95"/>
    <w:rsid w:val="00BA476A"/>
    <w:rsid w:val="00BA4F41"/>
    <w:rsid w:val="00BA5BBE"/>
    <w:rsid w:val="00BA6EFB"/>
    <w:rsid w:val="00BA7D21"/>
    <w:rsid w:val="00BB0584"/>
    <w:rsid w:val="00BB310C"/>
    <w:rsid w:val="00BB5A45"/>
    <w:rsid w:val="00BB74A4"/>
    <w:rsid w:val="00BC1110"/>
    <w:rsid w:val="00BC1A11"/>
    <w:rsid w:val="00BC22EF"/>
    <w:rsid w:val="00BC2CDD"/>
    <w:rsid w:val="00BC3C0D"/>
    <w:rsid w:val="00BC3ED8"/>
    <w:rsid w:val="00BC4EE9"/>
    <w:rsid w:val="00BC6518"/>
    <w:rsid w:val="00BC755D"/>
    <w:rsid w:val="00BD2527"/>
    <w:rsid w:val="00BD253E"/>
    <w:rsid w:val="00BD4D27"/>
    <w:rsid w:val="00BD5464"/>
    <w:rsid w:val="00BD65A9"/>
    <w:rsid w:val="00BE0950"/>
    <w:rsid w:val="00BE19C3"/>
    <w:rsid w:val="00BE33E3"/>
    <w:rsid w:val="00BE4919"/>
    <w:rsid w:val="00BE5001"/>
    <w:rsid w:val="00BE5B30"/>
    <w:rsid w:val="00BE73AD"/>
    <w:rsid w:val="00BE7402"/>
    <w:rsid w:val="00BE74B7"/>
    <w:rsid w:val="00BE7D6D"/>
    <w:rsid w:val="00BF0CFC"/>
    <w:rsid w:val="00BF2826"/>
    <w:rsid w:val="00BF2BE4"/>
    <w:rsid w:val="00BF347D"/>
    <w:rsid w:val="00BF34F7"/>
    <w:rsid w:val="00BF4B9F"/>
    <w:rsid w:val="00BF574E"/>
    <w:rsid w:val="00BF6725"/>
    <w:rsid w:val="00C00D67"/>
    <w:rsid w:val="00C03607"/>
    <w:rsid w:val="00C042CE"/>
    <w:rsid w:val="00C048AB"/>
    <w:rsid w:val="00C05DC6"/>
    <w:rsid w:val="00C06330"/>
    <w:rsid w:val="00C07E5D"/>
    <w:rsid w:val="00C10045"/>
    <w:rsid w:val="00C111F0"/>
    <w:rsid w:val="00C11836"/>
    <w:rsid w:val="00C146B8"/>
    <w:rsid w:val="00C22B5D"/>
    <w:rsid w:val="00C23A8A"/>
    <w:rsid w:val="00C25F39"/>
    <w:rsid w:val="00C265DE"/>
    <w:rsid w:val="00C271BD"/>
    <w:rsid w:val="00C3295C"/>
    <w:rsid w:val="00C336A5"/>
    <w:rsid w:val="00C336F6"/>
    <w:rsid w:val="00C34232"/>
    <w:rsid w:val="00C37A80"/>
    <w:rsid w:val="00C40469"/>
    <w:rsid w:val="00C40F48"/>
    <w:rsid w:val="00C41DA4"/>
    <w:rsid w:val="00C43A52"/>
    <w:rsid w:val="00C449D0"/>
    <w:rsid w:val="00C4628D"/>
    <w:rsid w:val="00C46FF3"/>
    <w:rsid w:val="00C500B0"/>
    <w:rsid w:val="00C53828"/>
    <w:rsid w:val="00C54DF8"/>
    <w:rsid w:val="00C550F5"/>
    <w:rsid w:val="00C55879"/>
    <w:rsid w:val="00C55A5E"/>
    <w:rsid w:val="00C5636A"/>
    <w:rsid w:val="00C56BB0"/>
    <w:rsid w:val="00C56E87"/>
    <w:rsid w:val="00C571BA"/>
    <w:rsid w:val="00C60E6A"/>
    <w:rsid w:val="00C62266"/>
    <w:rsid w:val="00C62D99"/>
    <w:rsid w:val="00C647CA"/>
    <w:rsid w:val="00C647F8"/>
    <w:rsid w:val="00C668F3"/>
    <w:rsid w:val="00C673A3"/>
    <w:rsid w:val="00C71082"/>
    <w:rsid w:val="00C7181A"/>
    <w:rsid w:val="00C72A5C"/>
    <w:rsid w:val="00C72D13"/>
    <w:rsid w:val="00C73742"/>
    <w:rsid w:val="00C73FC0"/>
    <w:rsid w:val="00C751CB"/>
    <w:rsid w:val="00C761C4"/>
    <w:rsid w:val="00C76A2F"/>
    <w:rsid w:val="00C779D9"/>
    <w:rsid w:val="00C811E7"/>
    <w:rsid w:val="00C81327"/>
    <w:rsid w:val="00C81F5B"/>
    <w:rsid w:val="00C83CF7"/>
    <w:rsid w:val="00C83FBE"/>
    <w:rsid w:val="00C84E6D"/>
    <w:rsid w:val="00C85E7B"/>
    <w:rsid w:val="00C8600A"/>
    <w:rsid w:val="00C90FB9"/>
    <w:rsid w:val="00C912B2"/>
    <w:rsid w:val="00C91435"/>
    <w:rsid w:val="00C92ED0"/>
    <w:rsid w:val="00C9431E"/>
    <w:rsid w:val="00C95CC6"/>
    <w:rsid w:val="00CA02C2"/>
    <w:rsid w:val="00CA1472"/>
    <w:rsid w:val="00CA34C4"/>
    <w:rsid w:val="00CA513A"/>
    <w:rsid w:val="00CA58BA"/>
    <w:rsid w:val="00CA6537"/>
    <w:rsid w:val="00CB0AA8"/>
    <w:rsid w:val="00CB119B"/>
    <w:rsid w:val="00CB1413"/>
    <w:rsid w:val="00CB1EDB"/>
    <w:rsid w:val="00CB3506"/>
    <w:rsid w:val="00CB4D25"/>
    <w:rsid w:val="00CB5444"/>
    <w:rsid w:val="00CC266B"/>
    <w:rsid w:val="00CC2C24"/>
    <w:rsid w:val="00CC2D67"/>
    <w:rsid w:val="00CC4712"/>
    <w:rsid w:val="00CC4C6E"/>
    <w:rsid w:val="00CC5213"/>
    <w:rsid w:val="00CC5221"/>
    <w:rsid w:val="00CC5894"/>
    <w:rsid w:val="00CD1611"/>
    <w:rsid w:val="00CD18D0"/>
    <w:rsid w:val="00CD248A"/>
    <w:rsid w:val="00CD2CA9"/>
    <w:rsid w:val="00CD4C1A"/>
    <w:rsid w:val="00CD5764"/>
    <w:rsid w:val="00CD5771"/>
    <w:rsid w:val="00CE14AD"/>
    <w:rsid w:val="00CE24CC"/>
    <w:rsid w:val="00CE258B"/>
    <w:rsid w:val="00CE3476"/>
    <w:rsid w:val="00CE48A4"/>
    <w:rsid w:val="00CE57E3"/>
    <w:rsid w:val="00CE653B"/>
    <w:rsid w:val="00CE68F0"/>
    <w:rsid w:val="00CE6F2E"/>
    <w:rsid w:val="00CE6F36"/>
    <w:rsid w:val="00CE7DED"/>
    <w:rsid w:val="00CF019A"/>
    <w:rsid w:val="00CF0E38"/>
    <w:rsid w:val="00CF14B6"/>
    <w:rsid w:val="00CF6266"/>
    <w:rsid w:val="00CF6E73"/>
    <w:rsid w:val="00CF6F98"/>
    <w:rsid w:val="00D00575"/>
    <w:rsid w:val="00D02531"/>
    <w:rsid w:val="00D03ADE"/>
    <w:rsid w:val="00D0578A"/>
    <w:rsid w:val="00D058D7"/>
    <w:rsid w:val="00D05AFD"/>
    <w:rsid w:val="00D06DCE"/>
    <w:rsid w:val="00D100EA"/>
    <w:rsid w:val="00D129CD"/>
    <w:rsid w:val="00D13A3A"/>
    <w:rsid w:val="00D144E1"/>
    <w:rsid w:val="00D15957"/>
    <w:rsid w:val="00D16A37"/>
    <w:rsid w:val="00D21B8D"/>
    <w:rsid w:val="00D22F1F"/>
    <w:rsid w:val="00D23BB7"/>
    <w:rsid w:val="00D3038A"/>
    <w:rsid w:val="00D317AA"/>
    <w:rsid w:val="00D318AF"/>
    <w:rsid w:val="00D33080"/>
    <w:rsid w:val="00D332E9"/>
    <w:rsid w:val="00D33C10"/>
    <w:rsid w:val="00D33E08"/>
    <w:rsid w:val="00D33FD8"/>
    <w:rsid w:val="00D3548F"/>
    <w:rsid w:val="00D35683"/>
    <w:rsid w:val="00D35D07"/>
    <w:rsid w:val="00D372ED"/>
    <w:rsid w:val="00D420BF"/>
    <w:rsid w:val="00D42977"/>
    <w:rsid w:val="00D42CAD"/>
    <w:rsid w:val="00D43723"/>
    <w:rsid w:val="00D43EC0"/>
    <w:rsid w:val="00D442B6"/>
    <w:rsid w:val="00D45B32"/>
    <w:rsid w:val="00D45BA6"/>
    <w:rsid w:val="00D464D8"/>
    <w:rsid w:val="00D479E4"/>
    <w:rsid w:val="00D519C1"/>
    <w:rsid w:val="00D52111"/>
    <w:rsid w:val="00D53B25"/>
    <w:rsid w:val="00D53E79"/>
    <w:rsid w:val="00D55F96"/>
    <w:rsid w:val="00D5679E"/>
    <w:rsid w:val="00D56C23"/>
    <w:rsid w:val="00D57038"/>
    <w:rsid w:val="00D57F71"/>
    <w:rsid w:val="00D60667"/>
    <w:rsid w:val="00D6117C"/>
    <w:rsid w:val="00D615FB"/>
    <w:rsid w:val="00D645AB"/>
    <w:rsid w:val="00D6765E"/>
    <w:rsid w:val="00D71DC3"/>
    <w:rsid w:val="00D72384"/>
    <w:rsid w:val="00D736E2"/>
    <w:rsid w:val="00D759A5"/>
    <w:rsid w:val="00D77DB7"/>
    <w:rsid w:val="00D80F39"/>
    <w:rsid w:val="00D81369"/>
    <w:rsid w:val="00D84AF5"/>
    <w:rsid w:val="00D84CBA"/>
    <w:rsid w:val="00D8766F"/>
    <w:rsid w:val="00D90559"/>
    <w:rsid w:val="00D92DE2"/>
    <w:rsid w:val="00D94147"/>
    <w:rsid w:val="00D97D7E"/>
    <w:rsid w:val="00DA10EA"/>
    <w:rsid w:val="00DA2078"/>
    <w:rsid w:val="00DA218D"/>
    <w:rsid w:val="00DA4374"/>
    <w:rsid w:val="00DA4640"/>
    <w:rsid w:val="00DA6567"/>
    <w:rsid w:val="00DB00D8"/>
    <w:rsid w:val="00DB06AA"/>
    <w:rsid w:val="00DB112C"/>
    <w:rsid w:val="00DB11BD"/>
    <w:rsid w:val="00DB3442"/>
    <w:rsid w:val="00DB42DC"/>
    <w:rsid w:val="00DB555D"/>
    <w:rsid w:val="00DB59F9"/>
    <w:rsid w:val="00DB61F2"/>
    <w:rsid w:val="00DC091C"/>
    <w:rsid w:val="00DC09F0"/>
    <w:rsid w:val="00DC126A"/>
    <w:rsid w:val="00DC2B7A"/>
    <w:rsid w:val="00DC2DAD"/>
    <w:rsid w:val="00DC474E"/>
    <w:rsid w:val="00DC4E21"/>
    <w:rsid w:val="00DC4EBC"/>
    <w:rsid w:val="00DC729D"/>
    <w:rsid w:val="00DD0D2A"/>
    <w:rsid w:val="00DD1B18"/>
    <w:rsid w:val="00DD36C5"/>
    <w:rsid w:val="00DD3DD3"/>
    <w:rsid w:val="00DD4059"/>
    <w:rsid w:val="00DD4908"/>
    <w:rsid w:val="00DD5059"/>
    <w:rsid w:val="00DD517F"/>
    <w:rsid w:val="00DD5414"/>
    <w:rsid w:val="00DE16E3"/>
    <w:rsid w:val="00DE298E"/>
    <w:rsid w:val="00DE4031"/>
    <w:rsid w:val="00DE46F1"/>
    <w:rsid w:val="00DE63F8"/>
    <w:rsid w:val="00DF0474"/>
    <w:rsid w:val="00DF1AA4"/>
    <w:rsid w:val="00DF2CEF"/>
    <w:rsid w:val="00DF46EB"/>
    <w:rsid w:val="00DF474E"/>
    <w:rsid w:val="00DF58FA"/>
    <w:rsid w:val="00E00A26"/>
    <w:rsid w:val="00E02C05"/>
    <w:rsid w:val="00E038DA"/>
    <w:rsid w:val="00E04560"/>
    <w:rsid w:val="00E049F0"/>
    <w:rsid w:val="00E05A00"/>
    <w:rsid w:val="00E05BEC"/>
    <w:rsid w:val="00E060E0"/>
    <w:rsid w:val="00E06CFC"/>
    <w:rsid w:val="00E07054"/>
    <w:rsid w:val="00E115E8"/>
    <w:rsid w:val="00E13152"/>
    <w:rsid w:val="00E137F9"/>
    <w:rsid w:val="00E14558"/>
    <w:rsid w:val="00E14AAB"/>
    <w:rsid w:val="00E17373"/>
    <w:rsid w:val="00E20CC9"/>
    <w:rsid w:val="00E20E9B"/>
    <w:rsid w:val="00E24111"/>
    <w:rsid w:val="00E25051"/>
    <w:rsid w:val="00E30427"/>
    <w:rsid w:val="00E30491"/>
    <w:rsid w:val="00E30875"/>
    <w:rsid w:val="00E31019"/>
    <w:rsid w:val="00E317C6"/>
    <w:rsid w:val="00E3231E"/>
    <w:rsid w:val="00E36E19"/>
    <w:rsid w:val="00E37D28"/>
    <w:rsid w:val="00E420C8"/>
    <w:rsid w:val="00E42126"/>
    <w:rsid w:val="00E426E2"/>
    <w:rsid w:val="00E43247"/>
    <w:rsid w:val="00E43826"/>
    <w:rsid w:val="00E44038"/>
    <w:rsid w:val="00E45D59"/>
    <w:rsid w:val="00E47CF1"/>
    <w:rsid w:val="00E50980"/>
    <w:rsid w:val="00E53523"/>
    <w:rsid w:val="00E53DED"/>
    <w:rsid w:val="00E56C6F"/>
    <w:rsid w:val="00E62A22"/>
    <w:rsid w:val="00E636EA"/>
    <w:rsid w:val="00E645C7"/>
    <w:rsid w:val="00E705BC"/>
    <w:rsid w:val="00E717E0"/>
    <w:rsid w:val="00E71FC0"/>
    <w:rsid w:val="00E7209C"/>
    <w:rsid w:val="00E72A8E"/>
    <w:rsid w:val="00E72E3B"/>
    <w:rsid w:val="00E73E85"/>
    <w:rsid w:val="00E75618"/>
    <w:rsid w:val="00E80459"/>
    <w:rsid w:val="00E8406A"/>
    <w:rsid w:val="00E84ABB"/>
    <w:rsid w:val="00E85FB7"/>
    <w:rsid w:val="00E868B3"/>
    <w:rsid w:val="00E87193"/>
    <w:rsid w:val="00E9019F"/>
    <w:rsid w:val="00E91ABB"/>
    <w:rsid w:val="00E9308E"/>
    <w:rsid w:val="00E9461D"/>
    <w:rsid w:val="00E9598C"/>
    <w:rsid w:val="00E96345"/>
    <w:rsid w:val="00EA28CD"/>
    <w:rsid w:val="00EA3279"/>
    <w:rsid w:val="00EA3502"/>
    <w:rsid w:val="00EA7DBA"/>
    <w:rsid w:val="00EB0C20"/>
    <w:rsid w:val="00EB1178"/>
    <w:rsid w:val="00EB1B35"/>
    <w:rsid w:val="00EB2BD9"/>
    <w:rsid w:val="00EB468C"/>
    <w:rsid w:val="00EB6978"/>
    <w:rsid w:val="00EB6A82"/>
    <w:rsid w:val="00EB6B40"/>
    <w:rsid w:val="00EB6E03"/>
    <w:rsid w:val="00EC015E"/>
    <w:rsid w:val="00EC01B6"/>
    <w:rsid w:val="00EC1527"/>
    <w:rsid w:val="00EC2375"/>
    <w:rsid w:val="00EC2516"/>
    <w:rsid w:val="00EC5171"/>
    <w:rsid w:val="00EC637E"/>
    <w:rsid w:val="00EC69E6"/>
    <w:rsid w:val="00EC6A23"/>
    <w:rsid w:val="00ED1DCD"/>
    <w:rsid w:val="00ED1FC1"/>
    <w:rsid w:val="00ED26FA"/>
    <w:rsid w:val="00ED2A2C"/>
    <w:rsid w:val="00ED3939"/>
    <w:rsid w:val="00ED4F9F"/>
    <w:rsid w:val="00EE2F56"/>
    <w:rsid w:val="00EE3111"/>
    <w:rsid w:val="00EE398C"/>
    <w:rsid w:val="00EE4891"/>
    <w:rsid w:val="00EE61B4"/>
    <w:rsid w:val="00EE7D23"/>
    <w:rsid w:val="00EF0BF4"/>
    <w:rsid w:val="00EF26F4"/>
    <w:rsid w:val="00EF4B5B"/>
    <w:rsid w:val="00EF64CA"/>
    <w:rsid w:val="00EF7FDB"/>
    <w:rsid w:val="00F01BA1"/>
    <w:rsid w:val="00F027DF"/>
    <w:rsid w:val="00F02BAE"/>
    <w:rsid w:val="00F02C30"/>
    <w:rsid w:val="00F02D38"/>
    <w:rsid w:val="00F037B0"/>
    <w:rsid w:val="00F03E9E"/>
    <w:rsid w:val="00F04805"/>
    <w:rsid w:val="00F0489C"/>
    <w:rsid w:val="00F04A09"/>
    <w:rsid w:val="00F04D0B"/>
    <w:rsid w:val="00F05F64"/>
    <w:rsid w:val="00F06CEA"/>
    <w:rsid w:val="00F07F1E"/>
    <w:rsid w:val="00F1280F"/>
    <w:rsid w:val="00F16A70"/>
    <w:rsid w:val="00F17648"/>
    <w:rsid w:val="00F21137"/>
    <w:rsid w:val="00F22204"/>
    <w:rsid w:val="00F24383"/>
    <w:rsid w:val="00F24D29"/>
    <w:rsid w:val="00F25BFA"/>
    <w:rsid w:val="00F26083"/>
    <w:rsid w:val="00F26AD7"/>
    <w:rsid w:val="00F30161"/>
    <w:rsid w:val="00F304F3"/>
    <w:rsid w:val="00F31153"/>
    <w:rsid w:val="00F31BCB"/>
    <w:rsid w:val="00F31E6E"/>
    <w:rsid w:val="00F31F7C"/>
    <w:rsid w:val="00F3291D"/>
    <w:rsid w:val="00F35084"/>
    <w:rsid w:val="00F36797"/>
    <w:rsid w:val="00F36A9E"/>
    <w:rsid w:val="00F36BFA"/>
    <w:rsid w:val="00F37092"/>
    <w:rsid w:val="00F370C7"/>
    <w:rsid w:val="00F40EFF"/>
    <w:rsid w:val="00F42CFD"/>
    <w:rsid w:val="00F42FCE"/>
    <w:rsid w:val="00F43C13"/>
    <w:rsid w:val="00F459AB"/>
    <w:rsid w:val="00F45A39"/>
    <w:rsid w:val="00F50ED2"/>
    <w:rsid w:val="00F5387F"/>
    <w:rsid w:val="00F53A5C"/>
    <w:rsid w:val="00F53EEB"/>
    <w:rsid w:val="00F55BB6"/>
    <w:rsid w:val="00F57EB7"/>
    <w:rsid w:val="00F61D69"/>
    <w:rsid w:val="00F6268A"/>
    <w:rsid w:val="00F63B44"/>
    <w:rsid w:val="00F64DFE"/>
    <w:rsid w:val="00F6639F"/>
    <w:rsid w:val="00F6725C"/>
    <w:rsid w:val="00F67813"/>
    <w:rsid w:val="00F70C4E"/>
    <w:rsid w:val="00F717BC"/>
    <w:rsid w:val="00F727B3"/>
    <w:rsid w:val="00F727D0"/>
    <w:rsid w:val="00F72A9F"/>
    <w:rsid w:val="00F73FC4"/>
    <w:rsid w:val="00F74795"/>
    <w:rsid w:val="00F774F8"/>
    <w:rsid w:val="00F77A86"/>
    <w:rsid w:val="00F77CFA"/>
    <w:rsid w:val="00F82060"/>
    <w:rsid w:val="00F84205"/>
    <w:rsid w:val="00F868B0"/>
    <w:rsid w:val="00F87A98"/>
    <w:rsid w:val="00F90331"/>
    <w:rsid w:val="00F905C0"/>
    <w:rsid w:val="00F925A6"/>
    <w:rsid w:val="00F94887"/>
    <w:rsid w:val="00F955DD"/>
    <w:rsid w:val="00F95775"/>
    <w:rsid w:val="00F95A9C"/>
    <w:rsid w:val="00F95D43"/>
    <w:rsid w:val="00F95D52"/>
    <w:rsid w:val="00F9657E"/>
    <w:rsid w:val="00FA07E0"/>
    <w:rsid w:val="00FA1F9D"/>
    <w:rsid w:val="00FA28DF"/>
    <w:rsid w:val="00FA56D8"/>
    <w:rsid w:val="00FA6E07"/>
    <w:rsid w:val="00FB206C"/>
    <w:rsid w:val="00FB21FA"/>
    <w:rsid w:val="00FB266A"/>
    <w:rsid w:val="00FB26F7"/>
    <w:rsid w:val="00FB30D6"/>
    <w:rsid w:val="00FB4055"/>
    <w:rsid w:val="00FB4494"/>
    <w:rsid w:val="00FB4FB6"/>
    <w:rsid w:val="00FB50A8"/>
    <w:rsid w:val="00FC36BD"/>
    <w:rsid w:val="00FC47C5"/>
    <w:rsid w:val="00FC7586"/>
    <w:rsid w:val="00FD0E38"/>
    <w:rsid w:val="00FD166A"/>
    <w:rsid w:val="00FD27AE"/>
    <w:rsid w:val="00FD3CEF"/>
    <w:rsid w:val="00FD4B69"/>
    <w:rsid w:val="00FD5BE2"/>
    <w:rsid w:val="00FD6DE9"/>
    <w:rsid w:val="00FE091B"/>
    <w:rsid w:val="00FE0A6C"/>
    <w:rsid w:val="00FE0E65"/>
    <w:rsid w:val="00FE0F96"/>
    <w:rsid w:val="00FE2541"/>
    <w:rsid w:val="00FE2753"/>
    <w:rsid w:val="00FE2C67"/>
    <w:rsid w:val="00FE4125"/>
    <w:rsid w:val="00FE56DF"/>
    <w:rsid w:val="00FE584D"/>
    <w:rsid w:val="00FE7DC7"/>
    <w:rsid w:val="00FF01D4"/>
    <w:rsid w:val="00FF15EF"/>
    <w:rsid w:val="00FF2AD5"/>
    <w:rsid w:val="00FF34BB"/>
    <w:rsid w:val="00FF432C"/>
    <w:rsid w:val="00FF5D9C"/>
    <w:rsid w:val="00FF5FD6"/>
    <w:rsid w:val="00FF7424"/>
    <w:rsid w:val="00FF74A2"/>
    <w:rsid w:val="00FF7D8C"/>
    <w:rsid w:val="010155CC"/>
    <w:rsid w:val="0118131E"/>
    <w:rsid w:val="01317E80"/>
    <w:rsid w:val="0172524C"/>
    <w:rsid w:val="01732C6A"/>
    <w:rsid w:val="01A0690D"/>
    <w:rsid w:val="01AB60AB"/>
    <w:rsid w:val="01D13901"/>
    <w:rsid w:val="01EE776A"/>
    <w:rsid w:val="02273754"/>
    <w:rsid w:val="023F2CC5"/>
    <w:rsid w:val="02573619"/>
    <w:rsid w:val="02584C8A"/>
    <w:rsid w:val="02AB077C"/>
    <w:rsid w:val="02B34514"/>
    <w:rsid w:val="02BD2AFB"/>
    <w:rsid w:val="02CB66F4"/>
    <w:rsid w:val="02D61205"/>
    <w:rsid w:val="02D71FB8"/>
    <w:rsid w:val="02ED4491"/>
    <w:rsid w:val="03070415"/>
    <w:rsid w:val="032C23BB"/>
    <w:rsid w:val="036B316D"/>
    <w:rsid w:val="03852594"/>
    <w:rsid w:val="039D4F22"/>
    <w:rsid w:val="03EB6FCE"/>
    <w:rsid w:val="03EE5E07"/>
    <w:rsid w:val="04301284"/>
    <w:rsid w:val="045B05C9"/>
    <w:rsid w:val="04625F18"/>
    <w:rsid w:val="047D5817"/>
    <w:rsid w:val="050966F8"/>
    <w:rsid w:val="05191494"/>
    <w:rsid w:val="054A027C"/>
    <w:rsid w:val="055870CD"/>
    <w:rsid w:val="05595C52"/>
    <w:rsid w:val="0596176B"/>
    <w:rsid w:val="05964C21"/>
    <w:rsid w:val="05BA5DD9"/>
    <w:rsid w:val="05F83519"/>
    <w:rsid w:val="05FE0236"/>
    <w:rsid w:val="0637473D"/>
    <w:rsid w:val="06393897"/>
    <w:rsid w:val="06614A2C"/>
    <w:rsid w:val="06687BA7"/>
    <w:rsid w:val="06A25DEA"/>
    <w:rsid w:val="06A61BB0"/>
    <w:rsid w:val="06B37D01"/>
    <w:rsid w:val="06BB5886"/>
    <w:rsid w:val="06BC2E1F"/>
    <w:rsid w:val="07154369"/>
    <w:rsid w:val="07896D68"/>
    <w:rsid w:val="078A691A"/>
    <w:rsid w:val="07970E5B"/>
    <w:rsid w:val="079B6787"/>
    <w:rsid w:val="0838253D"/>
    <w:rsid w:val="083C48AA"/>
    <w:rsid w:val="084206C4"/>
    <w:rsid w:val="086B4BCA"/>
    <w:rsid w:val="087054F9"/>
    <w:rsid w:val="088E0AFE"/>
    <w:rsid w:val="089737FA"/>
    <w:rsid w:val="08DA756C"/>
    <w:rsid w:val="08ED5E07"/>
    <w:rsid w:val="08F27B1D"/>
    <w:rsid w:val="09351209"/>
    <w:rsid w:val="09392068"/>
    <w:rsid w:val="09464020"/>
    <w:rsid w:val="09807662"/>
    <w:rsid w:val="098A5076"/>
    <w:rsid w:val="09CB3225"/>
    <w:rsid w:val="09CC4B8E"/>
    <w:rsid w:val="09D87538"/>
    <w:rsid w:val="09DA6A2E"/>
    <w:rsid w:val="09E43FDB"/>
    <w:rsid w:val="0A130D74"/>
    <w:rsid w:val="0A2C4585"/>
    <w:rsid w:val="0A4B5B76"/>
    <w:rsid w:val="0A577366"/>
    <w:rsid w:val="0A5A716D"/>
    <w:rsid w:val="0A807A62"/>
    <w:rsid w:val="0AB015D9"/>
    <w:rsid w:val="0AD14045"/>
    <w:rsid w:val="0AFB7AC2"/>
    <w:rsid w:val="0B2C1B6A"/>
    <w:rsid w:val="0B597E01"/>
    <w:rsid w:val="0B7E4DD3"/>
    <w:rsid w:val="0B8D4C9C"/>
    <w:rsid w:val="0BA95BD7"/>
    <w:rsid w:val="0BB32257"/>
    <w:rsid w:val="0C75321E"/>
    <w:rsid w:val="0C8C0704"/>
    <w:rsid w:val="0CB76905"/>
    <w:rsid w:val="0CBA668E"/>
    <w:rsid w:val="0CC27AEA"/>
    <w:rsid w:val="0CCE01AD"/>
    <w:rsid w:val="0D490C76"/>
    <w:rsid w:val="0D765298"/>
    <w:rsid w:val="0D9A446C"/>
    <w:rsid w:val="0E6A4EAB"/>
    <w:rsid w:val="0E804B61"/>
    <w:rsid w:val="0E9E50BC"/>
    <w:rsid w:val="0EC0634C"/>
    <w:rsid w:val="0EC071D8"/>
    <w:rsid w:val="0EF828BF"/>
    <w:rsid w:val="0F1D3082"/>
    <w:rsid w:val="0F494C2B"/>
    <w:rsid w:val="0F8D3BFE"/>
    <w:rsid w:val="0FE86EDA"/>
    <w:rsid w:val="0FED5D51"/>
    <w:rsid w:val="100B5229"/>
    <w:rsid w:val="101B72C3"/>
    <w:rsid w:val="104458C9"/>
    <w:rsid w:val="10571A2B"/>
    <w:rsid w:val="108568B0"/>
    <w:rsid w:val="10A14EFC"/>
    <w:rsid w:val="10C51FFE"/>
    <w:rsid w:val="10E72C8C"/>
    <w:rsid w:val="10F140AB"/>
    <w:rsid w:val="10F56C2C"/>
    <w:rsid w:val="10FA5B1D"/>
    <w:rsid w:val="117D2027"/>
    <w:rsid w:val="11AA4758"/>
    <w:rsid w:val="11C466AA"/>
    <w:rsid w:val="11C85875"/>
    <w:rsid w:val="11CC0572"/>
    <w:rsid w:val="11D43DC3"/>
    <w:rsid w:val="11DA0F8E"/>
    <w:rsid w:val="11E6452C"/>
    <w:rsid w:val="11F71086"/>
    <w:rsid w:val="12590173"/>
    <w:rsid w:val="125A3DE8"/>
    <w:rsid w:val="125E42BA"/>
    <w:rsid w:val="126D0DA2"/>
    <w:rsid w:val="127863E4"/>
    <w:rsid w:val="12916F9E"/>
    <w:rsid w:val="12A25891"/>
    <w:rsid w:val="12E67D0F"/>
    <w:rsid w:val="12EF20EC"/>
    <w:rsid w:val="12F00437"/>
    <w:rsid w:val="12F60CC9"/>
    <w:rsid w:val="13012800"/>
    <w:rsid w:val="13222B5B"/>
    <w:rsid w:val="1388728E"/>
    <w:rsid w:val="138965F6"/>
    <w:rsid w:val="13BC6C7E"/>
    <w:rsid w:val="13CB2BE6"/>
    <w:rsid w:val="13FD3D27"/>
    <w:rsid w:val="14035161"/>
    <w:rsid w:val="142265D9"/>
    <w:rsid w:val="14253228"/>
    <w:rsid w:val="142D5E38"/>
    <w:rsid w:val="146352CF"/>
    <w:rsid w:val="146F3D33"/>
    <w:rsid w:val="14A75E55"/>
    <w:rsid w:val="14DD12D3"/>
    <w:rsid w:val="150F7DAF"/>
    <w:rsid w:val="152E5EA3"/>
    <w:rsid w:val="159D0E59"/>
    <w:rsid w:val="15A703BF"/>
    <w:rsid w:val="15D17A36"/>
    <w:rsid w:val="162D01CA"/>
    <w:rsid w:val="166F4221"/>
    <w:rsid w:val="167F0AF1"/>
    <w:rsid w:val="1682170C"/>
    <w:rsid w:val="169F1BA2"/>
    <w:rsid w:val="16A7797C"/>
    <w:rsid w:val="16DA170F"/>
    <w:rsid w:val="16FD244D"/>
    <w:rsid w:val="170721C3"/>
    <w:rsid w:val="17082BEF"/>
    <w:rsid w:val="1748652A"/>
    <w:rsid w:val="17610A59"/>
    <w:rsid w:val="17915929"/>
    <w:rsid w:val="17B62F51"/>
    <w:rsid w:val="17C66CCB"/>
    <w:rsid w:val="17DC3C51"/>
    <w:rsid w:val="17F841EC"/>
    <w:rsid w:val="183E2CF5"/>
    <w:rsid w:val="18774B3D"/>
    <w:rsid w:val="18E86FB9"/>
    <w:rsid w:val="18FE2ABF"/>
    <w:rsid w:val="19627538"/>
    <w:rsid w:val="196C2E31"/>
    <w:rsid w:val="19A745C9"/>
    <w:rsid w:val="19F26C73"/>
    <w:rsid w:val="19F30328"/>
    <w:rsid w:val="19FA1A92"/>
    <w:rsid w:val="1A06172C"/>
    <w:rsid w:val="1A0C308D"/>
    <w:rsid w:val="1A130E4E"/>
    <w:rsid w:val="1A450C8A"/>
    <w:rsid w:val="1A536C77"/>
    <w:rsid w:val="1A686130"/>
    <w:rsid w:val="1A6A4348"/>
    <w:rsid w:val="1A7637D0"/>
    <w:rsid w:val="1AB1170C"/>
    <w:rsid w:val="1AB4630F"/>
    <w:rsid w:val="1AC225E0"/>
    <w:rsid w:val="1AE56858"/>
    <w:rsid w:val="1B22574D"/>
    <w:rsid w:val="1B264EC9"/>
    <w:rsid w:val="1B3B32C7"/>
    <w:rsid w:val="1B5618FE"/>
    <w:rsid w:val="1B6E35D9"/>
    <w:rsid w:val="1B8F4C21"/>
    <w:rsid w:val="1BC80027"/>
    <w:rsid w:val="1BCC350B"/>
    <w:rsid w:val="1BFB4B9E"/>
    <w:rsid w:val="1C1A6C77"/>
    <w:rsid w:val="1C9149E7"/>
    <w:rsid w:val="1C9360D3"/>
    <w:rsid w:val="1CBA6213"/>
    <w:rsid w:val="1CC72C1C"/>
    <w:rsid w:val="1CDB63FF"/>
    <w:rsid w:val="1D16777B"/>
    <w:rsid w:val="1D2529F1"/>
    <w:rsid w:val="1D6C57A8"/>
    <w:rsid w:val="1D6E6BE0"/>
    <w:rsid w:val="1D7313F1"/>
    <w:rsid w:val="1DA54B40"/>
    <w:rsid w:val="1DD93F8E"/>
    <w:rsid w:val="1DFE4135"/>
    <w:rsid w:val="1E7E42F4"/>
    <w:rsid w:val="1E97734F"/>
    <w:rsid w:val="1EC14752"/>
    <w:rsid w:val="1ECD15D2"/>
    <w:rsid w:val="1EDA4FD9"/>
    <w:rsid w:val="1F272378"/>
    <w:rsid w:val="1F801E4F"/>
    <w:rsid w:val="1F8715B5"/>
    <w:rsid w:val="1F9C7979"/>
    <w:rsid w:val="1FA43675"/>
    <w:rsid w:val="1FBA6483"/>
    <w:rsid w:val="1FCE33CE"/>
    <w:rsid w:val="1FDD71C3"/>
    <w:rsid w:val="20264ED4"/>
    <w:rsid w:val="20477E40"/>
    <w:rsid w:val="205F1538"/>
    <w:rsid w:val="20A31988"/>
    <w:rsid w:val="20BB751F"/>
    <w:rsid w:val="20C35939"/>
    <w:rsid w:val="20D25EC7"/>
    <w:rsid w:val="20F273BE"/>
    <w:rsid w:val="210219C7"/>
    <w:rsid w:val="21395784"/>
    <w:rsid w:val="21412073"/>
    <w:rsid w:val="214D74E8"/>
    <w:rsid w:val="214E3442"/>
    <w:rsid w:val="21986EE7"/>
    <w:rsid w:val="21B81370"/>
    <w:rsid w:val="21DD0AD6"/>
    <w:rsid w:val="221832A7"/>
    <w:rsid w:val="22802B58"/>
    <w:rsid w:val="22902702"/>
    <w:rsid w:val="22C47BD1"/>
    <w:rsid w:val="22DD4294"/>
    <w:rsid w:val="22E93F3A"/>
    <w:rsid w:val="22EA0ECA"/>
    <w:rsid w:val="23101D33"/>
    <w:rsid w:val="23427601"/>
    <w:rsid w:val="2352516F"/>
    <w:rsid w:val="239F0C8C"/>
    <w:rsid w:val="23CD6F90"/>
    <w:rsid w:val="23F71765"/>
    <w:rsid w:val="244E7C62"/>
    <w:rsid w:val="24643972"/>
    <w:rsid w:val="24922150"/>
    <w:rsid w:val="249B47BC"/>
    <w:rsid w:val="25496447"/>
    <w:rsid w:val="255B46B6"/>
    <w:rsid w:val="25A37AF2"/>
    <w:rsid w:val="25A54738"/>
    <w:rsid w:val="25C7362D"/>
    <w:rsid w:val="25C9045F"/>
    <w:rsid w:val="25D22590"/>
    <w:rsid w:val="260E1870"/>
    <w:rsid w:val="264F3C77"/>
    <w:rsid w:val="265D79F0"/>
    <w:rsid w:val="266557C2"/>
    <w:rsid w:val="26666646"/>
    <w:rsid w:val="26812B93"/>
    <w:rsid w:val="26CB182E"/>
    <w:rsid w:val="26FD6A2E"/>
    <w:rsid w:val="2748762D"/>
    <w:rsid w:val="275C1F93"/>
    <w:rsid w:val="276D64EE"/>
    <w:rsid w:val="27CD4B38"/>
    <w:rsid w:val="286F5BB4"/>
    <w:rsid w:val="28B77040"/>
    <w:rsid w:val="28C16117"/>
    <w:rsid w:val="29227B36"/>
    <w:rsid w:val="292F5E98"/>
    <w:rsid w:val="29523AE6"/>
    <w:rsid w:val="29584EAB"/>
    <w:rsid w:val="298D2EB3"/>
    <w:rsid w:val="299D7A0C"/>
    <w:rsid w:val="29A66F0F"/>
    <w:rsid w:val="29D6639B"/>
    <w:rsid w:val="2A2D409D"/>
    <w:rsid w:val="2A394E53"/>
    <w:rsid w:val="2A4132A5"/>
    <w:rsid w:val="2A665FC0"/>
    <w:rsid w:val="2A6F6E85"/>
    <w:rsid w:val="2A815BA2"/>
    <w:rsid w:val="2A882823"/>
    <w:rsid w:val="2AA975B7"/>
    <w:rsid w:val="2B3C31FD"/>
    <w:rsid w:val="2B552FD1"/>
    <w:rsid w:val="2B5F3E15"/>
    <w:rsid w:val="2BB651BF"/>
    <w:rsid w:val="2BCF19D8"/>
    <w:rsid w:val="2BD44ACE"/>
    <w:rsid w:val="2BF23D77"/>
    <w:rsid w:val="2C32335B"/>
    <w:rsid w:val="2C616E50"/>
    <w:rsid w:val="2CA00B85"/>
    <w:rsid w:val="2CA85387"/>
    <w:rsid w:val="2CAC5809"/>
    <w:rsid w:val="2CC1797F"/>
    <w:rsid w:val="2CE81305"/>
    <w:rsid w:val="2D0300F6"/>
    <w:rsid w:val="2D196E5A"/>
    <w:rsid w:val="2D35346D"/>
    <w:rsid w:val="2D4D4096"/>
    <w:rsid w:val="2DAE64BB"/>
    <w:rsid w:val="2DB954EB"/>
    <w:rsid w:val="2DC005FE"/>
    <w:rsid w:val="2DCB7398"/>
    <w:rsid w:val="2DDA377F"/>
    <w:rsid w:val="2DEB3342"/>
    <w:rsid w:val="2E0B046C"/>
    <w:rsid w:val="2E611634"/>
    <w:rsid w:val="2ECB61BD"/>
    <w:rsid w:val="2EFD0D88"/>
    <w:rsid w:val="2F4714A8"/>
    <w:rsid w:val="2F6F39C0"/>
    <w:rsid w:val="2F854674"/>
    <w:rsid w:val="2F8C2676"/>
    <w:rsid w:val="303E6AF1"/>
    <w:rsid w:val="305033F9"/>
    <w:rsid w:val="30667A71"/>
    <w:rsid w:val="307D1A84"/>
    <w:rsid w:val="309E1AB5"/>
    <w:rsid w:val="309F6916"/>
    <w:rsid w:val="30B2540A"/>
    <w:rsid w:val="30B32BF9"/>
    <w:rsid w:val="30BB1E7E"/>
    <w:rsid w:val="30C51099"/>
    <w:rsid w:val="31191ACD"/>
    <w:rsid w:val="313153CB"/>
    <w:rsid w:val="313C04B1"/>
    <w:rsid w:val="314F1B99"/>
    <w:rsid w:val="3172353F"/>
    <w:rsid w:val="31735F8E"/>
    <w:rsid w:val="317B3BE0"/>
    <w:rsid w:val="31851CCF"/>
    <w:rsid w:val="31CE4BFA"/>
    <w:rsid w:val="31E56B3B"/>
    <w:rsid w:val="320058DA"/>
    <w:rsid w:val="32304773"/>
    <w:rsid w:val="323E0F42"/>
    <w:rsid w:val="328122C0"/>
    <w:rsid w:val="32871462"/>
    <w:rsid w:val="32D00F6C"/>
    <w:rsid w:val="32D468DF"/>
    <w:rsid w:val="32EC2535"/>
    <w:rsid w:val="33010F4C"/>
    <w:rsid w:val="33050839"/>
    <w:rsid w:val="3322773D"/>
    <w:rsid w:val="33623536"/>
    <w:rsid w:val="339D144A"/>
    <w:rsid w:val="33B1423C"/>
    <w:rsid w:val="33E60F26"/>
    <w:rsid w:val="33E93B8F"/>
    <w:rsid w:val="33F33732"/>
    <w:rsid w:val="34001961"/>
    <w:rsid w:val="342E1B6D"/>
    <w:rsid w:val="34662DD8"/>
    <w:rsid w:val="346E570B"/>
    <w:rsid w:val="347B53E1"/>
    <w:rsid w:val="347D3B70"/>
    <w:rsid w:val="34851F8A"/>
    <w:rsid w:val="34865151"/>
    <w:rsid w:val="34B839E6"/>
    <w:rsid w:val="3517647D"/>
    <w:rsid w:val="351B5E69"/>
    <w:rsid w:val="35282FBA"/>
    <w:rsid w:val="352F3FDA"/>
    <w:rsid w:val="3546234B"/>
    <w:rsid w:val="35772678"/>
    <w:rsid w:val="358C1132"/>
    <w:rsid w:val="35F93EDF"/>
    <w:rsid w:val="36041858"/>
    <w:rsid w:val="363D7BB9"/>
    <w:rsid w:val="364F2831"/>
    <w:rsid w:val="366F6933"/>
    <w:rsid w:val="36C03E5C"/>
    <w:rsid w:val="36EC1C43"/>
    <w:rsid w:val="370242A7"/>
    <w:rsid w:val="37034280"/>
    <w:rsid w:val="370901B7"/>
    <w:rsid w:val="37390C27"/>
    <w:rsid w:val="374728FF"/>
    <w:rsid w:val="374D6073"/>
    <w:rsid w:val="375D183A"/>
    <w:rsid w:val="378202A3"/>
    <w:rsid w:val="37CB6B1A"/>
    <w:rsid w:val="37D56017"/>
    <w:rsid w:val="37F20C57"/>
    <w:rsid w:val="37F9547F"/>
    <w:rsid w:val="382865C2"/>
    <w:rsid w:val="3861697E"/>
    <w:rsid w:val="389D3106"/>
    <w:rsid w:val="38B21F38"/>
    <w:rsid w:val="38C42C90"/>
    <w:rsid w:val="38CD5384"/>
    <w:rsid w:val="38CF5C4E"/>
    <w:rsid w:val="38E3207E"/>
    <w:rsid w:val="3909344A"/>
    <w:rsid w:val="39A71E9F"/>
    <w:rsid w:val="39E239C1"/>
    <w:rsid w:val="3A313EBE"/>
    <w:rsid w:val="3A3401F7"/>
    <w:rsid w:val="3A58678C"/>
    <w:rsid w:val="3A8D7BDA"/>
    <w:rsid w:val="3AEC2C89"/>
    <w:rsid w:val="3B076D92"/>
    <w:rsid w:val="3B17792B"/>
    <w:rsid w:val="3B2567A1"/>
    <w:rsid w:val="3B3F7D64"/>
    <w:rsid w:val="3B673DAF"/>
    <w:rsid w:val="3B8506AB"/>
    <w:rsid w:val="3BC64C8F"/>
    <w:rsid w:val="3C074B51"/>
    <w:rsid w:val="3C0C458E"/>
    <w:rsid w:val="3C62644C"/>
    <w:rsid w:val="3C962B46"/>
    <w:rsid w:val="3C977240"/>
    <w:rsid w:val="3CAD2FE6"/>
    <w:rsid w:val="3CB25D87"/>
    <w:rsid w:val="3CC23569"/>
    <w:rsid w:val="3CF92D36"/>
    <w:rsid w:val="3D032A76"/>
    <w:rsid w:val="3D592240"/>
    <w:rsid w:val="3D5F5831"/>
    <w:rsid w:val="3D847C07"/>
    <w:rsid w:val="3D8A12B1"/>
    <w:rsid w:val="3D9600CE"/>
    <w:rsid w:val="3D9C1126"/>
    <w:rsid w:val="3DA60F6D"/>
    <w:rsid w:val="3DBA0DDA"/>
    <w:rsid w:val="3DCF5183"/>
    <w:rsid w:val="3DE77C0E"/>
    <w:rsid w:val="3DFB6E8F"/>
    <w:rsid w:val="3E216BD7"/>
    <w:rsid w:val="3E3127F6"/>
    <w:rsid w:val="3E530C1E"/>
    <w:rsid w:val="3E872CCD"/>
    <w:rsid w:val="3E8A24EE"/>
    <w:rsid w:val="3E9E132E"/>
    <w:rsid w:val="3ED13FAD"/>
    <w:rsid w:val="3EE76447"/>
    <w:rsid w:val="3EF64D78"/>
    <w:rsid w:val="3F192AD6"/>
    <w:rsid w:val="3F403CE8"/>
    <w:rsid w:val="3F632E09"/>
    <w:rsid w:val="3F6408B1"/>
    <w:rsid w:val="3FA3523B"/>
    <w:rsid w:val="3FC702F0"/>
    <w:rsid w:val="3FEB6EB6"/>
    <w:rsid w:val="403055D9"/>
    <w:rsid w:val="40351F50"/>
    <w:rsid w:val="408164EE"/>
    <w:rsid w:val="408A54F6"/>
    <w:rsid w:val="40B47420"/>
    <w:rsid w:val="40C4124A"/>
    <w:rsid w:val="40D06431"/>
    <w:rsid w:val="41084CFE"/>
    <w:rsid w:val="41236AFB"/>
    <w:rsid w:val="413254B9"/>
    <w:rsid w:val="41330988"/>
    <w:rsid w:val="41500AE7"/>
    <w:rsid w:val="41961875"/>
    <w:rsid w:val="41B8665F"/>
    <w:rsid w:val="41BD1DF4"/>
    <w:rsid w:val="41D73280"/>
    <w:rsid w:val="41EE5CAC"/>
    <w:rsid w:val="41F1183C"/>
    <w:rsid w:val="42041EF6"/>
    <w:rsid w:val="420F20AC"/>
    <w:rsid w:val="42122D00"/>
    <w:rsid w:val="422A45F4"/>
    <w:rsid w:val="422B6C83"/>
    <w:rsid w:val="42417A43"/>
    <w:rsid w:val="42465C6F"/>
    <w:rsid w:val="424733FB"/>
    <w:rsid w:val="42781B95"/>
    <w:rsid w:val="42B71FD1"/>
    <w:rsid w:val="42D02DCE"/>
    <w:rsid w:val="43031CB8"/>
    <w:rsid w:val="431718DF"/>
    <w:rsid w:val="431C6EFC"/>
    <w:rsid w:val="432B3C3A"/>
    <w:rsid w:val="43876219"/>
    <w:rsid w:val="43B6655A"/>
    <w:rsid w:val="43DA182A"/>
    <w:rsid w:val="44011861"/>
    <w:rsid w:val="441E3583"/>
    <w:rsid w:val="4447137B"/>
    <w:rsid w:val="44566F92"/>
    <w:rsid w:val="445938F4"/>
    <w:rsid w:val="44B254D3"/>
    <w:rsid w:val="44B26EA7"/>
    <w:rsid w:val="44D9344E"/>
    <w:rsid w:val="44F2230F"/>
    <w:rsid w:val="44F727DD"/>
    <w:rsid w:val="44FF1C4C"/>
    <w:rsid w:val="45237073"/>
    <w:rsid w:val="45523D8B"/>
    <w:rsid w:val="45CA0BF9"/>
    <w:rsid w:val="45EA76E0"/>
    <w:rsid w:val="46A45719"/>
    <w:rsid w:val="46B05A82"/>
    <w:rsid w:val="46B560F5"/>
    <w:rsid w:val="46D07816"/>
    <w:rsid w:val="46DA4F47"/>
    <w:rsid w:val="47073200"/>
    <w:rsid w:val="477B6CE3"/>
    <w:rsid w:val="47CE661A"/>
    <w:rsid w:val="47DB6C6E"/>
    <w:rsid w:val="47E50415"/>
    <w:rsid w:val="47F13E90"/>
    <w:rsid w:val="482B5662"/>
    <w:rsid w:val="48312AFE"/>
    <w:rsid w:val="487C17B4"/>
    <w:rsid w:val="489413ED"/>
    <w:rsid w:val="48A9643D"/>
    <w:rsid w:val="48CC5E03"/>
    <w:rsid w:val="48D204D9"/>
    <w:rsid w:val="48DE72E8"/>
    <w:rsid w:val="48F9560F"/>
    <w:rsid w:val="49B17A2F"/>
    <w:rsid w:val="49B61E53"/>
    <w:rsid w:val="49D603C0"/>
    <w:rsid w:val="4A37557A"/>
    <w:rsid w:val="4A4F72A8"/>
    <w:rsid w:val="4A74164A"/>
    <w:rsid w:val="4A7A5F15"/>
    <w:rsid w:val="4AA30EC9"/>
    <w:rsid w:val="4AA31D33"/>
    <w:rsid w:val="4AA44F41"/>
    <w:rsid w:val="4AD5283F"/>
    <w:rsid w:val="4B293B47"/>
    <w:rsid w:val="4B2F0CE3"/>
    <w:rsid w:val="4B581A73"/>
    <w:rsid w:val="4B59033C"/>
    <w:rsid w:val="4BA47FF3"/>
    <w:rsid w:val="4BD925A9"/>
    <w:rsid w:val="4BED4129"/>
    <w:rsid w:val="4C0E6659"/>
    <w:rsid w:val="4C1A36F4"/>
    <w:rsid w:val="4CAC58D4"/>
    <w:rsid w:val="4CAF1798"/>
    <w:rsid w:val="4CD22DB8"/>
    <w:rsid w:val="4CD24013"/>
    <w:rsid w:val="4D0F7E95"/>
    <w:rsid w:val="4D342A36"/>
    <w:rsid w:val="4D5921D7"/>
    <w:rsid w:val="4D831A74"/>
    <w:rsid w:val="4DE121F9"/>
    <w:rsid w:val="4DE62DBC"/>
    <w:rsid w:val="4E517148"/>
    <w:rsid w:val="4E5E653A"/>
    <w:rsid w:val="4E654AFA"/>
    <w:rsid w:val="4E734A30"/>
    <w:rsid w:val="4E91134F"/>
    <w:rsid w:val="4F0673FB"/>
    <w:rsid w:val="4F103F6B"/>
    <w:rsid w:val="4F220CC1"/>
    <w:rsid w:val="4F266057"/>
    <w:rsid w:val="4F3D72D9"/>
    <w:rsid w:val="4F40333F"/>
    <w:rsid w:val="4F772ED0"/>
    <w:rsid w:val="4F7C0BF4"/>
    <w:rsid w:val="4FA53A33"/>
    <w:rsid w:val="4FB05EF5"/>
    <w:rsid w:val="4FD211C2"/>
    <w:rsid w:val="4FD51AD9"/>
    <w:rsid w:val="50076DD8"/>
    <w:rsid w:val="504F38B6"/>
    <w:rsid w:val="507C3301"/>
    <w:rsid w:val="50801C7D"/>
    <w:rsid w:val="5081182D"/>
    <w:rsid w:val="50903B29"/>
    <w:rsid w:val="50DF5D13"/>
    <w:rsid w:val="50F74E72"/>
    <w:rsid w:val="51075CBF"/>
    <w:rsid w:val="51166911"/>
    <w:rsid w:val="5122007D"/>
    <w:rsid w:val="51751A8F"/>
    <w:rsid w:val="517621D9"/>
    <w:rsid w:val="517B0110"/>
    <w:rsid w:val="518C35D8"/>
    <w:rsid w:val="518C6A5F"/>
    <w:rsid w:val="518E7B44"/>
    <w:rsid w:val="51A268D1"/>
    <w:rsid w:val="51B94F05"/>
    <w:rsid w:val="51D768ED"/>
    <w:rsid w:val="51E230D5"/>
    <w:rsid w:val="52035595"/>
    <w:rsid w:val="520B4C4A"/>
    <w:rsid w:val="520D6643"/>
    <w:rsid w:val="525A21A8"/>
    <w:rsid w:val="52700469"/>
    <w:rsid w:val="52957B48"/>
    <w:rsid w:val="529A4E74"/>
    <w:rsid w:val="52B5366F"/>
    <w:rsid w:val="52CD0513"/>
    <w:rsid w:val="52DD7388"/>
    <w:rsid w:val="52DF0F56"/>
    <w:rsid w:val="52F22DB9"/>
    <w:rsid w:val="5334118A"/>
    <w:rsid w:val="53424274"/>
    <w:rsid w:val="53572A64"/>
    <w:rsid w:val="53716256"/>
    <w:rsid w:val="53A061A4"/>
    <w:rsid w:val="540B27D0"/>
    <w:rsid w:val="540E0AED"/>
    <w:rsid w:val="54623DFA"/>
    <w:rsid w:val="546E089B"/>
    <w:rsid w:val="546E5BA7"/>
    <w:rsid w:val="549B2B5D"/>
    <w:rsid w:val="54D03982"/>
    <w:rsid w:val="54EF0C01"/>
    <w:rsid w:val="54F02777"/>
    <w:rsid w:val="5539264C"/>
    <w:rsid w:val="556A68F9"/>
    <w:rsid w:val="556E4223"/>
    <w:rsid w:val="55760B28"/>
    <w:rsid w:val="55DF62C4"/>
    <w:rsid w:val="55FD21D8"/>
    <w:rsid w:val="560E66A1"/>
    <w:rsid w:val="560F6874"/>
    <w:rsid w:val="56720126"/>
    <w:rsid w:val="568F0BCE"/>
    <w:rsid w:val="571C1D32"/>
    <w:rsid w:val="5729345A"/>
    <w:rsid w:val="57330A84"/>
    <w:rsid w:val="575C4EEF"/>
    <w:rsid w:val="57743D27"/>
    <w:rsid w:val="579B4D4B"/>
    <w:rsid w:val="57B55C3F"/>
    <w:rsid w:val="57C32278"/>
    <w:rsid w:val="57DB58C3"/>
    <w:rsid w:val="57F614D7"/>
    <w:rsid w:val="58103852"/>
    <w:rsid w:val="581B42F5"/>
    <w:rsid w:val="58625B83"/>
    <w:rsid w:val="5867751F"/>
    <w:rsid w:val="586E118C"/>
    <w:rsid w:val="58AA02B6"/>
    <w:rsid w:val="58CD6343"/>
    <w:rsid w:val="59032E80"/>
    <w:rsid w:val="5933371B"/>
    <w:rsid w:val="59425FA1"/>
    <w:rsid w:val="59893261"/>
    <w:rsid w:val="59C000AE"/>
    <w:rsid w:val="59C16971"/>
    <w:rsid w:val="59D011AF"/>
    <w:rsid w:val="5A324872"/>
    <w:rsid w:val="5A457BF5"/>
    <w:rsid w:val="5AFA6F68"/>
    <w:rsid w:val="5B1B13AA"/>
    <w:rsid w:val="5B267F47"/>
    <w:rsid w:val="5B2E75A8"/>
    <w:rsid w:val="5B7A034C"/>
    <w:rsid w:val="5BA533B6"/>
    <w:rsid w:val="5BA950EE"/>
    <w:rsid w:val="5C19541D"/>
    <w:rsid w:val="5C5B5305"/>
    <w:rsid w:val="5C7A0C05"/>
    <w:rsid w:val="5C8846FB"/>
    <w:rsid w:val="5CCD093C"/>
    <w:rsid w:val="5CF06900"/>
    <w:rsid w:val="5D297617"/>
    <w:rsid w:val="5D6666BA"/>
    <w:rsid w:val="5D6F4A83"/>
    <w:rsid w:val="5D8D1635"/>
    <w:rsid w:val="5DAB2D2C"/>
    <w:rsid w:val="5DB05DAD"/>
    <w:rsid w:val="5DD61FC2"/>
    <w:rsid w:val="5E490A11"/>
    <w:rsid w:val="5E4C00E9"/>
    <w:rsid w:val="5E545E57"/>
    <w:rsid w:val="5EDF1F43"/>
    <w:rsid w:val="5EF97641"/>
    <w:rsid w:val="5F100C00"/>
    <w:rsid w:val="5F341E3F"/>
    <w:rsid w:val="5F40306E"/>
    <w:rsid w:val="5F423AFD"/>
    <w:rsid w:val="5F624EEC"/>
    <w:rsid w:val="5F9572F1"/>
    <w:rsid w:val="5FAC3591"/>
    <w:rsid w:val="5FAC74C1"/>
    <w:rsid w:val="5FD27C86"/>
    <w:rsid w:val="5FF06FEC"/>
    <w:rsid w:val="60117B4D"/>
    <w:rsid w:val="60153263"/>
    <w:rsid w:val="601E41FA"/>
    <w:rsid w:val="603C39C2"/>
    <w:rsid w:val="608710E1"/>
    <w:rsid w:val="608A61DA"/>
    <w:rsid w:val="609430A1"/>
    <w:rsid w:val="60AE090B"/>
    <w:rsid w:val="60C608BE"/>
    <w:rsid w:val="61177651"/>
    <w:rsid w:val="61792F67"/>
    <w:rsid w:val="61976274"/>
    <w:rsid w:val="61B62C3E"/>
    <w:rsid w:val="625748C6"/>
    <w:rsid w:val="625B080E"/>
    <w:rsid w:val="627A72CC"/>
    <w:rsid w:val="62B82F76"/>
    <w:rsid w:val="62BB11DB"/>
    <w:rsid w:val="62E87F66"/>
    <w:rsid w:val="62EF24E5"/>
    <w:rsid w:val="63131C36"/>
    <w:rsid w:val="631C3E24"/>
    <w:rsid w:val="633A3EFF"/>
    <w:rsid w:val="63985743"/>
    <w:rsid w:val="639A64D6"/>
    <w:rsid w:val="63E761AA"/>
    <w:rsid w:val="64196932"/>
    <w:rsid w:val="64247819"/>
    <w:rsid w:val="642766CE"/>
    <w:rsid w:val="64311BC8"/>
    <w:rsid w:val="644113E1"/>
    <w:rsid w:val="64635A01"/>
    <w:rsid w:val="647C4AE3"/>
    <w:rsid w:val="648B582A"/>
    <w:rsid w:val="64CD4BA1"/>
    <w:rsid w:val="64E32677"/>
    <w:rsid w:val="650F3A96"/>
    <w:rsid w:val="651077F6"/>
    <w:rsid w:val="655524F8"/>
    <w:rsid w:val="65651263"/>
    <w:rsid w:val="656D15D1"/>
    <w:rsid w:val="657558F0"/>
    <w:rsid w:val="6577067F"/>
    <w:rsid w:val="65890F53"/>
    <w:rsid w:val="659C3C55"/>
    <w:rsid w:val="65C9070E"/>
    <w:rsid w:val="65EF21ED"/>
    <w:rsid w:val="65F7492C"/>
    <w:rsid w:val="66196489"/>
    <w:rsid w:val="661F043E"/>
    <w:rsid w:val="663D3815"/>
    <w:rsid w:val="666A1495"/>
    <w:rsid w:val="667869E6"/>
    <w:rsid w:val="668D537F"/>
    <w:rsid w:val="6690767E"/>
    <w:rsid w:val="66B31F2F"/>
    <w:rsid w:val="66F5210F"/>
    <w:rsid w:val="66FD33FD"/>
    <w:rsid w:val="6717403C"/>
    <w:rsid w:val="672070F3"/>
    <w:rsid w:val="672970BE"/>
    <w:rsid w:val="673D50B5"/>
    <w:rsid w:val="674F3D1E"/>
    <w:rsid w:val="67665B7A"/>
    <w:rsid w:val="677F0493"/>
    <w:rsid w:val="67B84AF3"/>
    <w:rsid w:val="67CB1BE2"/>
    <w:rsid w:val="67E3397E"/>
    <w:rsid w:val="67E70ED5"/>
    <w:rsid w:val="67F03C6F"/>
    <w:rsid w:val="67FF4CA6"/>
    <w:rsid w:val="68274848"/>
    <w:rsid w:val="684E65B8"/>
    <w:rsid w:val="68A46078"/>
    <w:rsid w:val="68BB5CEE"/>
    <w:rsid w:val="68CE20E2"/>
    <w:rsid w:val="68EC5D3F"/>
    <w:rsid w:val="6910259B"/>
    <w:rsid w:val="69831D0D"/>
    <w:rsid w:val="698D38B6"/>
    <w:rsid w:val="69911BF4"/>
    <w:rsid w:val="699D4591"/>
    <w:rsid w:val="69DC5741"/>
    <w:rsid w:val="69EC77CF"/>
    <w:rsid w:val="69F9139A"/>
    <w:rsid w:val="6A016926"/>
    <w:rsid w:val="6A0C5F51"/>
    <w:rsid w:val="6A7B3505"/>
    <w:rsid w:val="6A8918D3"/>
    <w:rsid w:val="6A8E6CBE"/>
    <w:rsid w:val="6A9859F5"/>
    <w:rsid w:val="6AB51237"/>
    <w:rsid w:val="6AD36679"/>
    <w:rsid w:val="6AEC42AD"/>
    <w:rsid w:val="6B2E6260"/>
    <w:rsid w:val="6B3A6874"/>
    <w:rsid w:val="6B5C57A6"/>
    <w:rsid w:val="6B7D3993"/>
    <w:rsid w:val="6BC06097"/>
    <w:rsid w:val="6BC41657"/>
    <w:rsid w:val="6BDF5BA2"/>
    <w:rsid w:val="6BEF0139"/>
    <w:rsid w:val="6BF45F00"/>
    <w:rsid w:val="6C0A2E03"/>
    <w:rsid w:val="6C413B09"/>
    <w:rsid w:val="6CAE3B2F"/>
    <w:rsid w:val="6CC62641"/>
    <w:rsid w:val="6D235EF7"/>
    <w:rsid w:val="6D307E89"/>
    <w:rsid w:val="6D314DA9"/>
    <w:rsid w:val="6D3A16E9"/>
    <w:rsid w:val="6D504490"/>
    <w:rsid w:val="6D6F31C6"/>
    <w:rsid w:val="6D8848D4"/>
    <w:rsid w:val="6D8B3CFA"/>
    <w:rsid w:val="6D8E672B"/>
    <w:rsid w:val="6D9075BF"/>
    <w:rsid w:val="6E1B1E04"/>
    <w:rsid w:val="6E393360"/>
    <w:rsid w:val="6E4973D0"/>
    <w:rsid w:val="6E683534"/>
    <w:rsid w:val="6EB21BC3"/>
    <w:rsid w:val="6ED62A28"/>
    <w:rsid w:val="6EE45B9E"/>
    <w:rsid w:val="6F10259D"/>
    <w:rsid w:val="6F153E62"/>
    <w:rsid w:val="6F1614FF"/>
    <w:rsid w:val="6F5C5F18"/>
    <w:rsid w:val="6F7E0215"/>
    <w:rsid w:val="6FBA1F49"/>
    <w:rsid w:val="702E2938"/>
    <w:rsid w:val="70670C85"/>
    <w:rsid w:val="70757421"/>
    <w:rsid w:val="70864BCD"/>
    <w:rsid w:val="70A34B01"/>
    <w:rsid w:val="70BB47DC"/>
    <w:rsid w:val="70C15A73"/>
    <w:rsid w:val="711B0B04"/>
    <w:rsid w:val="711F60E4"/>
    <w:rsid w:val="715A7290"/>
    <w:rsid w:val="71C9168F"/>
    <w:rsid w:val="72126813"/>
    <w:rsid w:val="722F2857"/>
    <w:rsid w:val="723A73B2"/>
    <w:rsid w:val="72401EA1"/>
    <w:rsid w:val="72466E29"/>
    <w:rsid w:val="724A1E22"/>
    <w:rsid w:val="724C458C"/>
    <w:rsid w:val="725D171E"/>
    <w:rsid w:val="727B30FC"/>
    <w:rsid w:val="729251F6"/>
    <w:rsid w:val="72B9004D"/>
    <w:rsid w:val="72D7278F"/>
    <w:rsid w:val="73146380"/>
    <w:rsid w:val="732C4A02"/>
    <w:rsid w:val="7384538C"/>
    <w:rsid w:val="7388707D"/>
    <w:rsid w:val="738A515B"/>
    <w:rsid w:val="739C69F0"/>
    <w:rsid w:val="73CC4202"/>
    <w:rsid w:val="73D20121"/>
    <w:rsid w:val="73DF5CFC"/>
    <w:rsid w:val="741572F9"/>
    <w:rsid w:val="741B226A"/>
    <w:rsid w:val="74223B6C"/>
    <w:rsid w:val="74760490"/>
    <w:rsid w:val="748770E4"/>
    <w:rsid w:val="74B434C8"/>
    <w:rsid w:val="750A494B"/>
    <w:rsid w:val="751159D4"/>
    <w:rsid w:val="75140493"/>
    <w:rsid w:val="7537636B"/>
    <w:rsid w:val="755E20FB"/>
    <w:rsid w:val="756C08E5"/>
    <w:rsid w:val="75A77F70"/>
    <w:rsid w:val="75C94CC7"/>
    <w:rsid w:val="76213B9E"/>
    <w:rsid w:val="76303512"/>
    <w:rsid w:val="763B2BF8"/>
    <w:rsid w:val="764B74E6"/>
    <w:rsid w:val="76A725F6"/>
    <w:rsid w:val="76FA3FC8"/>
    <w:rsid w:val="76FF4D44"/>
    <w:rsid w:val="77377D8B"/>
    <w:rsid w:val="7770613C"/>
    <w:rsid w:val="77CC204C"/>
    <w:rsid w:val="782C4970"/>
    <w:rsid w:val="78807915"/>
    <w:rsid w:val="788A390B"/>
    <w:rsid w:val="78C9189B"/>
    <w:rsid w:val="791B37FB"/>
    <w:rsid w:val="79351315"/>
    <w:rsid w:val="79962D99"/>
    <w:rsid w:val="79A65604"/>
    <w:rsid w:val="79A85C83"/>
    <w:rsid w:val="79C463CB"/>
    <w:rsid w:val="79F74E5B"/>
    <w:rsid w:val="7A0A4643"/>
    <w:rsid w:val="7A1139EF"/>
    <w:rsid w:val="7A4847F8"/>
    <w:rsid w:val="7A7A2EE2"/>
    <w:rsid w:val="7A8276F9"/>
    <w:rsid w:val="7A8347E1"/>
    <w:rsid w:val="7AA32B1F"/>
    <w:rsid w:val="7AA84059"/>
    <w:rsid w:val="7ACD0114"/>
    <w:rsid w:val="7AF141A2"/>
    <w:rsid w:val="7B50005F"/>
    <w:rsid w:val="7B614604"/>
    <w:rsid w:val="7B971D44"/>
    <w:rsid w:val="7BBA7D7B"/>
    <w:rsid w:val="7BC37D09"/>
    <w:rsid w:val="7BCD75A1"/>
    <w:rsid w:val="7BD5615D"/>
    <w:rsid w:val="7BE05EAD"/>
    <w:rsid w:val="7BF9412A"/>
    <w:rsid w:val="7C0552C8"/>
    <w:rsid w:val="7C075AED"/>
    <w:rsid w:val="7C443D2D"/>
    <w:rsid w:val="7C450B09"/>
    <w:rsid w:val="7C676B98"/>
    <w:rsid w:val="7C70184E"/>
    <w:rsid w:val="7C76307F"/>
    <w:rsid w:val="7C7C2615"/>
    <w:rsid w:val="7C931B86"/>
    <w:rsid w:val="7C9D5952"/>
    <w:rsid w:val="7CA17EFD"/>
    <w:rsid w:val="7D4D59A4"/>
    <w:rsid w:val="7D892AB4"/>
    <w:rsid w:val="7DBA10AD"/>
    <w:rsid w:val="7DCD7A15"/>
    <w:rsid w:val="7DD05613"/>
    <w:rsid w:val="7DFB149C"/>
    <w:rsid w:val="7E08598F"/>
    <w:rsid w:val="7E21275B"/>
    <w:rsid w:val="7E2356A9"/>
    <w:rsid w:val="7E286CE4"/>
    <w:rsid w:val="7E475CAF"/>
    <w:rsid w:val="7EA72620"/>
    <w:rsid w:val="7EBB0D48"/>
    <w:rsid w:val="7EF3650C"/>
    <w:rsid w:val="7F190E1B"/>
    <w:rsid w:val="7F1A7C11"/>
    <w:rsid w:val="7F8627A2"/>
    <w:rsid w:val="7FC561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0" w:semiHidden="0" w:name="Body Text Indent 3"/>
    <w:lsdException w:uiPriority="99"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8"/>
    <w:unhideWhenUsed/>
    <w:qFormat/>
    <w:uiPriority w:val="9"/>
    <w:pPr>
      <w:keepNext/>
      <w:keepLines/>
      <w:spacing w:before="160" w:after="160" w:line="360" w:lineRule="auto"/>
      <w:outlineLvl w:val="1"/>
    </w:pPr>
    <w:rPr>
      <w:rFonts w:ascii="微软雅黑" w:hAnsi="微软雅黑" w:eastAsia="微软雅黑" w:cs="微软雅黑"/>
      <w:b/>
      <w:bCs/>
      <w:kern w:val="0"/>
      <w:sz w:val="32"/>
      <w:szCs w:val="32"/>
    </w:rPr>
  </w:style>
  <w:style w:type="paragraph" w:styleId="4">
    <w:name w:val="heading 3"/>
    <w:basedOn w:val="1"/>
    <w:next w:val="1"/>
    <w:link w:val="49"/>
    <w:qFormat/>
    <w:uiPriority w:val="0"/>
    <w:pPr>
      <w:keepNext/>
      <w:keepLines/>
      <w:outlineLvl w:val="2"/>
    </w:pPr>
    <w:rPr>
      <w:b/>
      <w:bCs/>
      <w:color w:val="0000FF"/>
      <w:sz w:val="28"/>
      <w:szCs w:val="24"/>
      <w:lang w:val="en-GB"/>
    </w:rPr>
  </w:style>
  <w:style w:type="paragraph" w:styleId="5">
    <w:name w:val="heading 4"/>
    <w:basedOn w:val="1"/>
    <w:next w:val="1"/>
    <w:link w:val="50"/>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1"/>
    <w:unhideWhenUsed/>
    <w:qFormat/>
    <w:uiPriority w:val="0"/>
    <w:pPr>
      <w:keepNext/>
      <w:keepLines/>
      <w:spacing w:before="280" w:after="290" w:line="376" w:lineRule="auto"/>
      <w:outlineLvl w:val="4"/>
    </w:pPr>
    <w:rPr>
      <w:b/>
      <w:bCs/>
      <w:sz w:val="28"/>
      <w:szCs w:val="28"/>
    </w:rPr>
  </w:style>
  <w:style w:type="paragraph" w:styleId="7">
    <w:name w:val="heading 6"/>
    <w:basedOn w:val="1"/>
    <w:next w:val="8"/>
    <w:link w:val="52"/>
    <w:qFormat/>
    <w:uiPriority w:val="0"/>
    <w:pPr>
      <w:widowControl/>
      <w:tabs>
        <w:tab w:val="left" w:pos="1152"/>
      </w:tabs>
      <w:overflowPunct w:val="0"/>
      <w:autoSpaceDE w:val="0"/>
      <w:autoSpaceDN w:val="0"/>
      <w:adjustRightInd w:val="0"/>
      <w:ind w:left="1152" w:hanging="1152"/>
      <w:textAlignment w:val="baseline"/>
      <w:outlineLvl w:val="5"/>
    </w:pPr>
    <w:rPr>
      <w:rFonts w:ascii="Times New Roman" w:hAnsi="Times New Roman" w:eastAsia="楷体" w:cs="Times New Roman"/>
      <w:kern w:val="0"/>
      <w:sz w:val="20"/>
      <w:szCs w:val="20"/>
      <w:u w:val="single"/>
    </w:rPr>
  </w:style>
  <w:style w:type="paragraph" w:styleId="9">
    <w:name w:val="heading 7"/>
    <w:basedOn w:val="1"/>
    <w:next w:val="8"/>
    <w:link w:val="53"/>
    <w:qFormat/>
    <w:uiPriority w:val="0"/>
    <w:pPr>
      <w:widowControl/>
      <w:tabs>
        <w:tab w:val="left" w:pos="1296"/>
      </w:tabs>
      <w:overflowPunct w:val="0"/>
      <w:autoSpaceDE w:val="0"/>
      <w:autoSpaceDN w:val="0"/>
      <w:adjustRightInd w:val="0"/>
      <w:ind w:left="1296" w:hanging="1296"/>
      <w:textAlignment w:val="baseline"/>
      <w:outlineLvl w:val="6"/>
    </w:pPr>
    <w:rPr>
      <w:rFonts w:ascii="Times New Roman" w:hAnsi="Times New Roman" w:eastAsia="楷体" w:cs="Times New Roman"/>
      <w:i/>
      <w:kern w:val="0"/>
      <w:sz w:val="20"/>
      <w:szCs w:val="20"/>
    </w:rPr>
  </w:style>
  <w:style w:type="paragraph" w:styleId="10">
    <w:name w:val="heading 8"/>
    <w:basedOn w:val="1"/>
    <w:next w:val="8"/>
    <w:link w:val="54"/>
    <w:qFormat/>
    <w:uiPriority w:val="0"/>
    <w:pPr>
      <w:widowControl/>
      <w:tabs>
        <w:tab w:val="left" w:pos="1440"/>
      </w:tabs>
      <w:overflowPunct w:val="0"/>
      <w:autoSpaceDE w:val="0"/>
      <w:autoSpaceDN w:val="0"/>
      <w:adjustRightInd w:val="0"/>
      <w:ind w:left="1440" w:hanging="1440"/>
      <w:textAlignment w:val="baseline"/>
      <w:outlineLvl w:val="7"/>
    </w:pPr>
    <w:rPr>
      <w:rFonts w:ascii="Times New Roman" w:hAnsi="Times New Roman" w:eastAsia="楷体" w:cs="Times New Roman"/>
      <w:i/>
      <w:kern w:val="0"/>
      <w:sz w:val="20"/>
      <w:szCs w:val="20"/>
    </w:rPr>
  </w:style>
  <w:style w:type="paragraph" w:styleId="11">
    <w:name w:val="heading 9"/>
    <w:basedOn w:val="1"/>
    <w:next w:val="8"/>
    <w:link w:val="55"/>
    <w:qFormat/>
    <w:uiPriority w:val="0"/>
    <w:pPr>
      <w:widowControl/>
      <w:tabs>
        <w:tab w:val="left" w:pos="1584"/>
      </w:tabs>
      <w:overflowPunct w:val="0"/>
      <w:autoSpaceDE w:val="0"/>
      <w:autoSpaceDN w:val="0"/>
      <w:adjustRightInd w:val="0"/>
      <w:ind w:left="1584" w:hanging="1584"/>
      <w:textAlignment w:val="baseline"/>
      <w:outlineLvl w:val="8"/>
    </w:pPr>
    <w:rPr>
      <w:rFonts w:ascii="Times New Roman" w:hAnsi="Times New Roman" w:eastAsia="楷体" w:cs="Times New Roman"/>
      <w:i/>
      <w:kern w:val="0"/>
      <w:sz w:val="20"/>
      <w:szCs w:val="20"/>
    </w:rPr>
  </w:style>
  <w:style w:type="character" w:default="1" w:styleId="40">
    <w:name w:val="Default Paragraph Font"/>
    <w:unhideWhenUsed/>
    <w:uiPriority w:val="1"/>
  </w:style>
  <w:style w:type="table" w:default="1" w:styleId="37">
    <w:name w:val="Normal Table"/>
    <w:unhideWhenUsed/>
    <w:qFormat/>
    <w:uiPriority w:val="99"/>
    <w:tblPr>
      <w:tblCellMar>
        <w:top w:w="0" w:type="dxa"/>
        <w:left w:w="108" w:type="dxa"/>
        <w:bottom w:w="0" w:type="dxa"/>
        <w:right w:w="108" w:type="dxa"/>
      </w:tblCellMar>
    </w:tblPr>
  </w:style>
  <w:style w:type="paragraph" w:styleId="8">
    <w:name w:val="Normal Indent"/>
    <w:basedOn w:val="1"/>
    <w:unhideWhenUsed/>
    <w:qFormat/>
    <w:uiPriority w:val="0"/>
    <w:pPr>
      <w:widowControl/>
      <w:spacing w:beforeAutospacing="1" w:afterAutospacing="1"/>
      <w:jc w:val="left"/>
    </w:pPr>
    <w:rPr>
      <w:rFonts w:ascii="Arial Unicode MS" w:hAnsi="Arial Unicode MS" w:eastAsia="宋体"/>
      <w:sz w:val="24"/>
      <w:szCs w:val="24"/>
    </w:rPr>
  </w:style>
  <w:style w:type="paragraph" w:styleId="12">
    <w:name w:val="toc 7"/>
    <w:basedOn w:val="1"/>
    <w:next w:val="1"/>
    <w:unhideWhenUsed/>
    <w:qFormat/>
    <w:uiPriority w:val="39"/>
    <w:pPr>
      <w:ind w:left="1260"/>
      <w:jc w:val="left"/>
    </w:pPr>
    <w:rPr>
      <w:sz w:val="18"/>
      <w:szCs w:val="18"/>
    </w:rPr>
  </w:style>
  <w:style w:type="paragraph" w:styleId="13">
    <w:name w:val="List Number"/>
    <w:basedOn w:val="1"/>
    <w:qFormat/>
    <w:uiPriority w:val="0"/>
    <w:pPr>
      <w:numPr>
        <w:ilvl w:val="0"/>
        <w:numId w:val="1"/>
      </w:numPr>
    </w:pPr>
    <w:rPr>
      <w:rFonts w:ascii="Times New Roman" w:hAnsi="Times New Roman" w:eastAsia="宋体" w:cs="Times New Roman"/>
      <w:szCs w:val="24"/>
    </w:rPr>
  </w:style>
  <w:style w:type="paragraph" w:styleId="14">
    <w:name w:val="caption"/>
    <w:basedOn w:val="1"/>
    <w:next w:val="1"/>
    <w:link w:val="83"/>
    <w:qFormat/>
    <w:uiPriority w:val="0"/>
    <w:rPr>
      <w:rFonts w:ascii="Cambria" w:hAnsi="Cambria" w:eastAsia="黑体" w:cs="Times New Roman"/>
      <w:sz w:val="20"/>
      <w:szCs w:val="20"/>
    </w:rPr>
  </w:style>
  <w:style w:type="paragraph" w:styleId="15">
    <w:name w:val="Document Map"/>
    <w:basedOn w:val="1"/>
    <w:link w:val="58"/>
    <w:unhideWhenUsed/>
    <w:qFormat/>
    <w:uiPriority w:val="0"/>
    <w:rPr>
      <w:rFonts w:ascii="宋体" w:eastAsia="宋体"/>
      <w:sz w:val="18"/>
      <w:szCs w:val="18"/>
    </w:rPr>
  </w:style>
  <w:style w:type="paragraph" w:styleId="16">
    <w:name w:val="annotation text"/>
    <w:basedOn w:val="1"/>
    <w:link w:val="81"/>
    <w:unhideWhenUsed/>
    <w:qFormat/>
    <w:uiPriority w:val="0"/>
    <w:pPr>
      <w:jc w:val="left"/>
    </w:pPr>
  </w:style>
  <w:style w:type="paragraph" w:styleId="17">
    <w:name w:val="Body Text"/>
    <w:basedOn w:val="1"/>
    <w:link w:val="56"/>
    <w:qFormat/>
    <w:uiPriority w:val="0"/>
    <w:pPr>
      <w:autoSpaceDE w:val="0"/>
      <w:autoSpaceDN w:val="0"/>
      <w:adjustRightInd w:val="0"/>
      <w:spacing w:before="120" w:after="120"/>
      <w:ind w:left="2520"/>
      <w:jc w:val="left"/>
      <w:textAlignment w:val="baseline"/>
    </w:pPr>
    <w:rPr>
      <w:rFonts w:ascii="Book Antiqua" w:hAnsi="Book Antiqua" w:eastAsia="宋体" w:cs="Times New Roman"/>
      <w:kern w:val="0"/>
      <w:sz w:val="20"/>
      <w:szCs w:val="20"/>
    </w:rPr>
  </w:style>
  <w:style w:type="paragraph" w:styleId="18">
    <w:name w:val="Body Text Indent"/>
    <w:basedOn w:val="1"/>
    <w:link w:val="84"/>
    <w:qFormat/>
    <w:uiPriority w:val="99"/>
    <w:pPr>
      <w:spacing w:line="360" w:lineRule="auto"/>
      <w:ind w:left="3780" w:firstLine="420"/>
      <w:jc w:val="left"/>
    </w:pPr>
    <w:rPr>
      <w:rFonts w:ascii="Times New Roman" w:hAnsi="Times New Roman" w:eastAsia="宋体" w:cs="Times New Roman"/>
      <w:sz w:val="28"/>
      <w:szCs w:val="24"/>
    </w:rPr>
  </w:style>
  <w:style w:type="paragraph" w:styleId="19">
    <w:name w:val="toc 5"/>
    <w:basedOn w:val="1"/>
    <w:next w:val="1"/>
    <w:unhideWhenUsed/>
    <w:qFormat/>
    <w:uiPriority w:val="39"/>
    <w:pPr>
      <w:ind w:left="840"/>
      <w:jc w:val="left"/>
    </w:pPr>
    <w:rPr>
      <w:sz w:val="18"/>
      <w:szCs w:val="18"/>
    </w:rPr>
  </w:style>
  <w:style w:type="paragraph" w:styleId="20">
    <w:name w:val="toc 3"/>
    <w:basedOn w:val="1"/>
    <w:next w:val="1"/>
    <w:unhideWhenUsed/>
    <w:qFormat/>
    <w:uiPriority w:val="39"/>
    <w:pPr>
      <w:ind w:left="420"/>
      <w:jc w:val="left"/>
    </w:pPr>
    <w:rPr>
      <w:i/>
      <w:iCs/>
      <w:sz w:val="20"/>
      <w:szCs w:val="20"/>
    </w:rPr>
  </w:style>
  <w:style w:type="paragraph" w:styleId="21">
    <w:name w:val="toc 8"/>
    <w:basedOn w:val="1"/>
    <w:next w:val="1"/>
    <w:unhideWhenUsed/>
    <w:qFormat/>
    <w:uiPriority w:val="39"/>
    <w:pPr>
      <w:ind w:left="1470"/>
      <w:jc w:val="left"/>
    </w:pPr>
    <w:rPr>
      <w:sz w:val="18"/>
      <w:szCs w:val="18"/>
    </w:rPr>
  </w:style>
  <w:style w:type="paragraph" w:styleId="22">
    <w:name w:val="Body Text Indent 2"/>
    <w:basedOn w:val="1"/>
    <w:link w:val="85"/>
    <w:qFormat/>
    <w:uiPriority w:val="0"/>
    <w:pPr>
      <w:spacing w:line="360" w:lineRule="auto"/>
      <w:ind w:firstLine="420"/>
      <w:jc w:val="left"/>
    </w:pPr>
    <w:rPr>
      <w:rFonts w:ascii="Times New Roman" w:hAnsi="Times New Roman" w:eastAsia="宋体" w:cs="Times New Roman"/>
      <w:sz w:val="24"/>
      <w:szCs w:val="24"/>
    </w:rPr>
  </w:style>
  <w:style w:type="paragraph" w:styleId="23">
    <w:name w:val="Balloon Text"/>
    <w:basedOn w:val="1"/>
    <w:link w:val="59"/>
    <w:unhideWhenUsed/>
    <w:qFormat/>
    <w:uiPriority w:val="99"/>
    <w:rPr>
      <w:sz w:val="18"/>
      <w:szCs w:val="18"/>
    </w:rPr>
  </w:style>
  <w:style w:type="paragraph" w:styleId="24">
    <w:name w:val="footer"/>
    <w:basedOn w:val="1"/>
    <w:link w:val="60"/>
    <w:unhideWhenUsed/>
    <w:qFormat/>
    <w:uiPriority w:val="0"/>
    <w:pPr>
      <w:tabs>
        <w:tab w:val="center" w:pos="4153"/>
        <w:tab w:val="right" w:pos="8306"/>
      </w:tabs>
      <w:snapToGrid w:val="0"/>
      <w:jc w:val="left"/>
    </w:pPr>
    <w:rPr>
      <w:sz w:val="18"/>
      <w:szCs w:val="18"/>
    </w:rPr>
  </w:style>
  <w:style w:type="paragraph" w:styleId="25">
    <w:name w:val="header"/>
    <w:basedOn w:val="1"/>
    <w:link w:val="61"/>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unhideWhenUsed/>
    <w:qFormat/>
    <w:uiPriority w:val="39"/>
    <w:pPr>
      <w:spacing w:before="120" w:after="120"/>
      <w:jc w:val="left"/>
    </w:pPr>
    <w:rPr>
      <w:b/>
      <w:bCs/>
      <w:caps/>
      <w:sz w:val="20"/>
      <w:szCs w:val="20"/>
    </w:rPr>
  </w:style>
  <w:style w:type="paragraph" w:styleId="27">
    <w:name w:val="toc 4"/>
    <w:basedOn w:val="1"/>
    <w:next w:val="1"/>
    <w:unhideWhenUsed/>
    <w:qFormat/>
    <w:uiPriority w:val="39"/>
    <w:pPr>
      <w:ind w:left="630"/>
      <w:jc w:val="left"/>
    </w:pPr>
    <w:rPr>
      <w:sz w:val="18"/>
      <w:szCs w:val="18"/>
    </w:rPr>
  </w:style>
  <w:style w:type="paragraph" w:styleId="28">
    <w:name w:val="toc 6"/>
    <w:basedOn w:val="1"/>
    <w:next w:val="1"/>
    <w:unhideWhenUsed/>
    <w:qFormat/>
    <w:uiPriority w:val="39"/>
    <w:pPr>
      <w:ind w:left="1050"/>
      <w:jc w:val="left"/>
    </w:pPr>
    <w:rPr>
      <w:sz w:val="18"/>
      <w:szCs w:val="18"/>
    </w:rPr>
  </w:style>
  <w:style w:type="paragraph" w:styleId="29">
    <w:name w:val="Body Text Indent 3"/>
    <w:basedOn w:val="1"/>
    <w:link w:val="62"/>
    <w:unhideWhenUsed/>
    <w:qFormat/>
    <w:uiPriority w:val="0"/>
    <w:pPr>
      <w:spacing w:after="120"/>
      <w:ind w:left="420" w:leftChars="200"/>
    </w:pPr>
    <w:rPr>
      <w:sz w:val="16"/>
      <w:szCs w:val="16"/>
    </w:rPr>
  </w:style>
  <w:style w:type="paragraph" w:styleId="30">
    <w:name w:val="toc 2"/>
    <w:basedOn w:val="1"/>
    <w:next w:val="1"/>
    <w:unhideWhenUsed/>
    <w:qFormat/>
    <w:uiPriority w:val="39"/>
    <w:pPr>
      <w:ind w:left="210"/>
      <w:jc w:val="left"/>
    </w:pPr>
    <w:rPr>
      <w:smallCaps/>
      <w:sz w:val="20"/>
      <w:szCs w:val="20"/>
    </w:rPr>
  </w:style>
  <w:style w:type="paragraph" w:styleId="31">
    <w:name w:val="toc 9"/>
    <w:basedOn w:val="1"/>
    <w:next w:val="1"/>
    <w:unhideWhenUsed/>
    <w:qFormat/>
    <w:uiPriority w:val="39"/>
    <w:pPr>
      <w:ind w:left="1680"/>
      <w:jc w:val="left"/>
    </w:pPr>
    <w:rPr>
      <w:sz w:val="18"/>
      <w:szCs w:val="18"/>
    </w:rPr>
  </w:style>
  <w:style w:type="paragraph" w:styleId="32">
    <w:name w:val="HTML Preformatted"/>
    <w:basedOn w:val="1"/>
    <w:link w:val="8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33">
    <w:name w:val="Normal (Web)"/>
    <w:basedOn w:val="1"/>
    <w:qFormat/>
    <w:uiPriority w:val="0"/>
    <w:pPr>
      <w:widowControl/>
      <w:spacing w:before="100" w:beforeAutospacing="1" w:after="100" w:afterAutospacing="1"/>
      <w:jc w:val="left"/>
    </w:pPr>
    <w:rPr>
      <w:rFonts w:ascii="宋体" w:hAnsi="宋体" w:eastAsia="仿宋_GB2312" w:cs="宋体"/>
      <w:kern w:val="0"/>
      <w:sz w:val="24"/>
      <w:szCs w:val="20"/>
    </w:rPr>
  </w:style>
  <w:style w:type="paragraph" w:styleId="34">
    <w:name w:val="Title"/>
    <w:basedOn w:val="1"/>
    <w:link w:val="63"/>
    <w:qFormat/>
    <w:uiPriority w:val="0"/>
    <w:pPr>
      <w:widowControl/>
    </w:pPr>
    <w:rPr>
      <w:rFonts w:ascii="Univers (WN)" w:hAnsi="Univers (WN)" w:eastAsia="宋体" w:cs="Times New Roman"/>
      <w:b/>
      <w:kern w:val="0"/>
      <w:sz w:val="31"/>
      <w:szCs w:val="20"/>
      <w:u w:val="single"/>
      <w:lang w:eastAsia="en-US"/>
    </w:rPr>
  </w:style>
  <w:style w:type="paragraph" w:styleId="35">
    <w:name w:val="annotation subject"/>
    <w:basedOn w:val="16"/>
    <w:next w:val="16"/>
    <w:link w:val="82"/>
    <w:qFormat/>
    <w:uiPriority w:val="0"/>
    <w:rPr>
      <w:rFonts w:ascii="Times New Roman" w:hAnsi="Times New Roman" w:eastAsia="宋体" w:cs="Times New Roman"/>
      <w:b/>
      <w:bCs/>
      <w:szCs w:val="24"/>
    </w:rPr>
  </w:style>
  <w:style w:type="paragraph" w:styleId="36">
    <w:name w:val="Body Text First Indent"/>
    <w:basedOn w:val="17"/>
    <w:link w:val="57"/>
    <w:unhideWhenUsed/>
    <w:qFormat/>
    <w:uiPriority w:val="99"/>
    <w:pPr>
      <w:autoSpaceDE/>
      <w:autoSpaceDN/>
      <w:adjustRightInd/>
      <w:spacing w:before="0"/>
      <w:ind w:left="0" w:firstLine="420" w:firstLineChars="100"/>
      <w:jc w:val="both"/>
      <w:textAlignment w:val="auto"/>
    </w:pPr>
    <w:rPr>
      <w:rFonts w:asciiTheme="minorHAnsi" w:hAnsiTheme="minorHAnsi" w:eastAsiaTheme="minorEastAsia" w:cstheme="minorBidi"/>
      <w:kern w:val="2"/>
      <w:sz w:val="21"/>
      <w:szCs w:val="22"/>
    </w:rPr>
  </w:style>
  <w:style w:type="table" w:styleId="38">
    <w:name w:val="Table Grid"/>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Colorful List Accent 1"/>
    <w:basedOn w:val="37"/>
    <w:unhideWhenUsed/>
    <w:qFormat/>
    <w:uiPriority w:val="34"/>
    <w:rPr>
      <w:rFonts w:asciiTheme="minorHAnsi" w:hAnsiTheme="minorHAnsi" w:eastAsiaTheme="minorEastAsia" w:cstheme="minorBidi"/>
      <w:szCs w:val="24"/>
    </w:rPr>
    <w:tblPr>
      <w:tblCellMar>
        <w:top w:w="0" w:type="dxa"/>
        <w:left w:w="108" w:type="dxa"/>
        <w:bottom w:w="0" w:type="dxa"/>
        <w:right w:w="108" w:type="dxa"/>
      </w:tblCellMar>
    </w:tblPr>
    <w:tcPr>
      <w:shd w:val="clear" w:color="auto" w:fill="EDF2F8" w:themeFill="accent1" w:themeFillTint="19"/>
    </w:tcPr>
    <w:tblStylePr w:type="firstRow">
      <w:rPr>
        <w:b/>
        <w:bCs/>
        <w:color w:val="FFFFFF"/>
      </w:rPr>
      <w:tblPr/>
      <w:tcPr>
        <w:tcBorders>
          <w:bottom w:val="single" w:color="FFFFFF" w:themeColor="background1" w:sz="12" w:space="0"/>
        </w:tcBorders>
        <w:shd w:val="clear" w:color="auto" w:fill="9E3A38" w:themeFill="accent2" w:themeFillShade="CC"/>
      </w:tcPr>
    </w:tblStylePr>
    <w:tblStylePr w:type="lastRow">
      <w:rPr>
        <w:b/>
        <w:bCs/>
        <w:color w:val="9E3A38"/>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41">
    <w:name w:val="Strong"/>
    <w:qFormat/>
    <w:uiPriority w:val="0"/>
    <w:rPr>
      <w:b/>
      <w:bCs/>
    </w:rPr>
  </w:style>
  <w:style w:type="character" w:styleId="42">
    <w:name w:val="page number"/>
    <w:basedOn w:val="40"/>
    <w:qFormat/>
    <w:uiPriority w:val="0"/>
  </w:style>
  <w:style w:type="character" w:styleId="43">
    <w:name w:val="FollowedHyperlink"/>
    <w:qFormat/>
    <w:uiPriority w:val="0"/>
    <w:rPr>
      <w:color w:val="800080"/>
      <w:u w:val="single"/>
    </w:rPr>
  </w:style>
  <w:style w:type="character" w:styleId="44">
    <w:name w:val="Emphasis"/>
    <w:basedOn w:val="40"/>
    <w:qFormat/>
    <w:uiPriority w:val="0"/>
    <w:rPr>
      <w:color w:val="CC0000"/>
    </w:rPr>
  </w:style>
  <w:style w:type="character" w:styleId="45">
    <w:name w:val="Hyperlink"/>
    <w:basedOn w:val="40"/>
    <w:unhideWhenUsed/>
    <w:qFormat/>
    <w:uiPriority w:val="99"/>
    <w:rPr>
      <w:color w:val="0000FF" w:themeColor="hyperlink"/>
      <w:u w:val="single"/>
    </w:rPr>
  </w:style>
  <w:style w:type="character" w:styleId="46">
    <w:name w:val="annotation reference"/>
    <w:qFormat/>
    <w:uiPriority w:val="0"/>
    <w:rPr>
      <w:sz w:val="21"/>
      <w:szCs w:val="21"/>
    </w:rPr>
  </w:style>
  <w:style w:type="character" w:customStyle="1" w:styleId="47">
    <w:name w:val="标题 1 Char"/>
    <w:basedOn w:val="40"/>
    <w:link w:val="2"/>
    <w:qFormat/>
    <w:uiPriority w:val="9"/>
    <w:rPr>
      <w:b/>
      <w:bCs/>
      <w:kern w:val="44"/>
      <w:sz w:val="44"/>
      <w:szCs w:val="44"/>
    </w:rPr>
  </w:style>
  <w:style w:type="character" w:customStyle="1" w:styleId="48">
    <w:name w:val="标题 2 Char"/>
    <w:basedOn w:val="40"/>
    <w:link w:val="3"/>
    <w:qFormat/>
    <w:uiPriority w:val="9"/>
    <w:rPr>
      <w:rFonts w:ascii="微软雅黑" w:hAnsi="微软雅黑" w:eastAsia="微软雅黑" w:cs="微软雅黑"/>
      <w:b/>
      <w:bCs/>
      <w:sz w:val="32"/>
      <w:szCs w:val="32"/>
    </w:rPr>
  </w:style>
  <w:style w:type="character" w:customStyle="1" w:styleId="49">
    <w:name w:val="标题 3 Char"/>
    <w:basedOn w:val="40"/>
    <w:link w:val="4"/>
    <w:qFormat/>
    <w:uiPriority w:val="9"/>
    <w:rPr>
      <w:rFonts w:ascii="Book Antiqua" w:hAnsi="Book Antiqua" w:eastAsia="宋体" w:cs="Times New Roman"/>
      <w:b/>
      <w:bCs/>
      <w:color w:val="0000FF"/>
      <w:kern w:val="0"/>
      <w:sz w:val="28"/>
      <w:szCs w:val="24"/>
      <w:lang w:val="en-GB"/>
    </w:rPr>
  </w:style>
  <w:style w:type="character" w:customStyle="1" w:styleId="50">
    <w:name w:val="标题 4 Char"/>
    <w:basedOn w:val="40"/>
    <w:link w:val="5"/>
    <w:qFormat/>
    <w:uiPriority w:val="0"/>
    <w:rPr>
      <w:rFonts w:asciiTheme="majorHAnsi" w:hAnsiTheme="majorHAnsi" w:eastAsiaTheme="majorEastAsia" w:cstheme="majorBidi"/>
      <w:b/>
      <w:bCs/>
      <w:sz w:val="28"/>
      <w:szCs w:val="28"/>
    </w:rPr>
  </w:style>
  <w:style w:type="character" w:customStyle="1" w:styleId="51">
    <w:name w:val="标题 5 Char"/>
    <w:basedOn w:val="40"/>
    <w:link w:val="6"/>
    <w:qFormat/>
    <w:uiPriority w:val="0"/>
    <w:rPr>
      <w:rFonts w:asciiTheme="minorHAnsi" w:hAnsiTheme="minorHAnsi" w:eastAsiaTheme="minorEastAsia" w:cstheme="minorBidi"/>
      <w:b/>
      <w:bCs/>
      <w:kern w:val="2"/>
      <w:sz w:val="28"/>
      <w:szCs w:val="28"/>
    </w:rPr>
  </w:style>
  <w:style w:type="character" w:customStyle="1" w:styleId="52">
    <w:name w:val="标题 6 Char"/>
    <w:basedOn w:val="40"/>
    <w:link w:val="7"/>
    <w:qFormat/>
    <w:uiPriority w:val="0"/>
    <w:rPr>
      <w:rFonts w:eastAsia="楷体"/>
      <w:u w:val="single"/>
    </w:rPr>
  </w:style>
  <w:style w:type="character" w:customStyle="1" w:styleId="53">
    <w:name w:val="标题 7 Char"/>
    <w:basedOn w:val="40"/>
    <w:link w:val="9"/>
    <w:qFormat/>
    <w:uiPriority w:val="0"/>
    <w:rPr>
      <w:rFonts w:eastAsia="楷体"/>
      <w:i/>
    </w:rPr>
  </w:style>
  <w:style w:type="character" w:customStyle="1" w:styleId="54">
    <w:name w:val="标题 8 Char"/>
    <w:basedOn w:val="40"/>
    <w:link w:val="10"/>
    <w:qFormat/>
    <w:uiPriority w:val="0"/>
    <w:rPr>
      <w:rFonts w:eastAsia="楷体"/>
      <w:i/>
    </w:rPr>
  </w:style>
  <w:style w:type="character" w:customStyle="1" w:styleId="55">
    <w:name w:val="标题 9 Char"/>
    <w:basedOn w:val="40"/>
    <w:link w:val="11"/>
    <w:qFormat/>
    <w:uiPriority w:val="0"/>
    <w:rPr>
      <w:rFonts w:eastAsia="楷体"/>
      <w:i/>
    </w:rPr>
  </w:style>
  <w:style w:type="character" w:customStyle="1" w:styleId="56">
    <w:name w:val="正文文本 Char"/>
    <w:basedOn w:val="40"/>
    <w:link w:val="17"/>
    <w:qFormat/>
    <w:uiPriority w:val="0"/>
    <w:rPr>
      <w:rFonts w:ascii="Book Antiqua" w:hAnsi="Book Antiqua" w:eastAsia="宋体" w:cs="Times New Roman"/>
      <w:kern w:val="0"/>
      <w:sz w:val="20"/>
      <w:szCs w:val="20"/>
    </w:rPr>
  </w:style>
  <w:style w:type="character" w:customStyle="1" w:styleId="57">
    <w:name w:val="正文首行缩进 Char"/>
    <w:basedOn w:val="56"/>
    <w:link w:val="36"/>
    <w:semiHidden/>
    <w:qFormat/>
    <w:uiPriority w:val="99"/>
    <w:rPr>
      <w:rFonts w:ascii="Book Antiqua" w:hAnsi="Book Antiqua" w:eastAsia="宋体" w:cs="Times New Roman"/>
      <w:kern w:val="0"/>
      <w:sz w:val="20"/>
      <w:szCs w:val="20"/>
    </w:rPr>
  </w:style>
  <w:style w:type="character" w:customStyle="1" w:styleId="58">
    <w:name w:val="文档结构图 Char"/>
    <w:basedOn w:val="40"/>
    <w:link w:val="15"/>
    <w:semiHidden/>
    <w:qFormat/>
    <w:uiPriority w:val="0"/>
    <w:rPr>
      <w:rFonts w:ascii="宋体" w:eastAsia="宋体"/>
      <w:sz w:val="18"/>
      <w:szCs w:val="18"/>
    </w:rPr>
  </w:style>
  <w:style w:type="character" w:customStyle="1" w:styleId="59">
    <w:name w:val="批注框文本 Char"/>
    <w:basedOn w:val="40"/>
    <w:link w:val="23"/>
    <w:qFormat/>
    <w:uiPriority w:val="99"/>
    <w:rPr>
      <w:sz w:val="18"/>
      <w:szCs w:val="18"/>
    </w:rPr>
  </w:style>
  <w:style w:type="character" w:customStyle="1" w:styleId="60">
    <w:name w:val="页脚 Char"/>
    <w:basedOn w:val="40"/>
    <w:link w:val="24"/>
    <w:qFormat/>
    <w:uiPriority w:val="99"/>
    <w:rPr>
      <w:sz w:val="18"/>
      <w:szCs w:val="18"/>
    </w:rPr>
  </w:style>
  <w:style w:type="character" w:customStyle="1" w:styleId="61">
    <w:name w:val="页眉 Char"/>
    <w:basedOn w:val="40"/>
    <w:link w:val="25"/>
    <w:qFormat/>
    <w:uiPriority w:val="0"/>
    <w:rPr>
      <w:sz w:val="18"/>
      <w:szCs w:val="18"/>
    </w:rPr>
  </w:style>
  <w:style w:type="character" w:customStyle="1" w:styleId="62">
    <w:name w:val="正文文本缩进 3 Char"/>
    <w:basedOn w:val="40"/>
    <w:link w:val="29"/>
    <w:qFormat/>
    <w:uiPriority w:val="0"/>
    <w:rPr>
      <w:sz w:val="16"/>
      <w:szCs w:val="16"/>
    </w:rPr>
  </w:style>
  <w:style w:type="character" w:customStyle="1" w:styleId="63">
    <w:name w:val="标题 Char"/>
    <w:basedOn w:val="40"/>
    <w:link w:val="34"/>
    <w:qFormat/>
    <w:uiPriority w:val="0"/>
    <w:rPr>
      <w:rFonts w:ascii="Univers (WN)" w:hAnsi="Univers (WN)" w:eastAsia="宋体" w:cs="Times New Roman"/>
      <w:b/>
      <w:kern w:val="0"/>
      <w:sz w:val="31"/>
      <w:szCs w:val="20"/>
      <w:u w:val="single"/>
      <w:lang w:eastAsia="en-US"/>
    </w:rPr>
  </w:style>
  <w:style w:type="paragraph" w:customStyle="1" w:styleId="64">
    <w:name w:val="列出段落1"/>
    <w:basedOn w:val="1"/>
    <w:qFormat/>
    <w:uiPriority w:val="0"/>
    <w:pPr>
      <w:ind w:firstLine="420" w:firstLineChars="200"/>
    </w:pPr>
  </w:style>
  <w:style w:type="paragraph" w:customStyle="1" w:styleId="65">
    <w:name w:val="Normal DS"/>
    <w:basedOn w:val="1"/>
    <w:qFormat/>
    <w:uiPriority w:val="0"/>
    <w:pPr>
      <w:widowControl/>
      <w:spacing w:after="260"/>
      <w:jc w:val="left"/>
    </w:pPr>
    <w:rPr>
      <w:rFonts w:ascii="Times" w:hAnsi="Times" w:eastAsia="宋体" w:cs="Times New Roman"/>
      <w:kern w:val="0"/>
      <w:sz w:val="23"/>
      <w:szCs w:val="20"/>
      <w:lang w:val="en-GB"/>
    </w:rPr>
  </w:style>
  <w:style w:type="paragraph" w:customStyle="1" w:styleId="66">
    <w:name w:val="Table Heading"/>
    <w:basedOn w:val="67"/>
    <w:qFormat/>
    <w:uiPriority w:val="0"/>
    <w:pPr>
      <w:spacing w:before="120" w:after="120"/>
    </w:pPr>
    <w:rPr>
      <w:b/>
      <w:bCs/>
    </w:rPr>
  </w:style>
  <w:style w:type="paragraph" w:customStyle="1" w:styleId="67">
    <w:name w:val="Table Text"/>
    <w:basedOn w:val="1"/>
    <w:qFormat/>
    <w:uiPriority w:val="0"/>
    <w:pPr>
      <w:keepLines/>
      <w:autoSpaceDE w:val="0"/>
      <w:autoSpaceDN w:val="0"/>
      <w:adjustRightInd w:val="0"/>
      <w:jc w:val="left"/>
      <w:textAlignment w:val="baseline"/>
    </w:pPr>
    <w:rPr>
      <w:rFonts w:ascii="Book Antiqua" w:hAnsi="Book Antiqua" w:eastAsia="宋体" w:cs="Times New Roman"/>
      <w:kern w:val="0"/>
      <w:sz w:val="16"/>
      <w:szCs w:val="16"/>
    </w:rPr>
  </w:style>
  <w:style w:type="paragraph" w:customStyle="1" w:styleId="68">
    <w:name w:val="SOW正文"/>
    <w:basedOn w:val="1"/>
    <w:qFormat/>
    <w:uiPriority w:val="0"/>
    <w:pPr>
      <w:widowControl/>
      <w:snapToGrid w:val="0"/>
      <w:spacing w:before="120" w:line="400" w:lineRule="exact"/>
      <w:ind w:firstLine="425"/>
      <w:jc w:val="left"/>
    </w:pPr>
    <w:rPr>
      <w:rFonts w:ascii="Arial" w:hAnsi="Arial" w:eastAsia="DFKai-SB" w:cs="Times New Roman"/>
      <w:kern w:val="0"/>
      <w:sz w:val="24"/>
      <w:lang w:eastAsia="en-US"/>
    </w:rPr>
  </w:style>
  <w:style w:type="paragraph" w:customStyle="1" w:styleId="69">
    <w:name w:val="CN Paragraph"/>
    <w:qFormat/>
    <w:uiPriority w:val="0"/>
    <w:pPr>
      <w:spacing w:before="28" w:after="28"/>
      <w:ind w:firstLine="360"/>
      <w:jc w:val="both"/>
    </w:pPr>
    <w:rPr>
      <w:rFonts w:ascii="宋体常规" w:hAnsi="宋体常规" w:eastAsia="宋体" w:cs="Times New Roman"/>
      <w:sz w:val="22"/>
      <w:szCs w:val="22"/>
      <w:lang w:val="en-US" w:eastAsia="en-US" w:bidi="ar-SA"/>
    </w:rPr>
  </w:style>
  <w:style w:type="paragraph" w:customStyle="1" w:styleId="70">
    <w:name w:val="CN Level 1 Bullet"/>
    <w:basedOn w:val="69"/>
    <w:qFormat/>
    <w:uiPriority w:val="0"/>
    <w:pPr>
      <w:tabs>
        <w:tab w:val="left" w:pos="360"/>
      </w:tabs>
      <w:ind w:left="360" w:hanging="360"/>
    </w:pPr>
  </w:style>
  <w:style w:type="paragraph" w:customStyle="1" w:styleId="71">
    <w:name w:val="CN Level 2 Bullet"/>
    <w:basedOn w:val="69"/>
    <w:qFormat/>
    <w:uiPriority w:val="0"/>
    <w:pPr>
      <w:tabs>
        <w:tab w:val="left" w:pos="1170"/>
      </w:tabs>
      <w:ind w:left="1170" w:hanging="360"/>
    </w:pPr>
  </w:style>
  <w:style w:type="paragraph" w:customStyle="1" w:styleId="72">
    <w:name w:val="CN Level 3 Bullet"/>
    <w:basedOn w:val="69"/>
    <w:qFormat/>
    <w:uiPriority w:val="0"/>
    <w:pPr>
      <w:tabs>
        <w:tab w:val="left" w:pos="1080"/>
      </w:tabs>
      <w:ind w:left="1080" w:hanging="360"/>
    </w:pPr>
  </w:style>
  <w:style w:type="paragraph" w:customStyle="1" w:styleId="73">
    <w:name w:val="CN Level 4 Bullet"/>
    <w:basedOn w:val="69"/>
    <w:qFormat/>
    <w:uiPriority w:val="0"/>
    <w:pPr>
      <w:tabs>
        <w:tab w:val="left" w:pos="1440"/>
      </w:tabs>
      <w:ind w:left="1440" w:hanging="360"/>
    </w:pPr>
  </w:style>
  <w:style w:type="paragraph" w:customStyle="1" w:styleId="74">
    <w:name w:val="CN Level 5 Bullet"/>
    <w:basedOn w:val="69"/>
    <w:qFormat/>
    <w:uiPriority w:val="0"/>
    <w:pPr>
      <w:tabs>
        <w:tab w:val="left" w:pos="1800"/>
      </w:tabs>
      <w:ind w:left="1800" w:hanging="360"/>
    </w:pPr>
  </w:style>
  <w:style w:type="paragraph" w:customStyle="1" w:styleId="75">
    <w:name w:val="CN Level 6 Bullet"/>
    <w:basedOn w:val="69"/>
    <w:qFormat/>
    <w:uiPriority w:val="0"/>
    <w:pPr>
      <w:tabs>
        <w:tab w:val="left" w:pos="2160"/>
      </w:tabs>
      <w:ind w:left="2160" w:hanging="360"/>
    </w:pPr>
  </w:style>
  <w:style w:type="paragraph" w:customStyle="1" w:styleId="76">
    <w:name w:val="CN Internal Note Level 1 Bullet"/>
    <w:basedOn w:val="1"/>
    <w:qFormat/>
    <w:uiPriority w:val="0"/>
    <w:pPr>
      <w:widowControl/>
      <w:pBdr>
        <w:right w:val="doubleWave" w:color="FF0000" w:sz="6" w:space="4"/>
      </w:pBdr>
      <w:tabs>
        <w:tab w:val="left" w:pos="360"/>
      </w:tabs>
      <w:spacing w:before="28" w:after="28"/>
      <w:ind w:left="360" w:hanging="360"/>
      <w:jc w:val="left"/>
    </w:pPr>
    <w:rPr>
      <w:rFonts w:ascii="宋体常规" w:hAnsi="宋体常规" w:eastAsia="宋体" w:cs="Times New Roman"/>
      <w:color w:val="FF0000"/>
      <w:kern w:val="0"/>
      <w:sz w:val="20"/>
      <w:lang w:eastAsia="en-US"/>
    </w:rPr>
  </w:style>
  <w:style w:type="paragraph" w:customStyle="1" w:styleId="77">
    <w:name w:val="CN Internal Note Level 2 Bullet"/>
    <w:basedOn w:val="1"/>
    <w:qFormat/>
    <w:uiPriority w:val="0"/>
    <w:pPr>
      <w:widowControl/>
      <w:pBdr>
        <w:right w:val="doubleWave" w:color="FF0000" w:sz="6" w:space="4"/>
      </w:pBdr>
      <w:tabs>
        <w:tab w:val="left" w:pos="360"/>
        <w:tab w:val="left" w:pos="720"/>
      </w:tabs>
      <w:spacing w:before="28" w:after="28"/>
      <w:ind w:left="720" w:hanging="360"/>
      <w:jc w:val="left"/>
    </w:pPr>
    <w:rPr>
      <w:rFonts w:ascii="宋体常规" w:hAnsi="宋体常规" w:eastAsia="宋体" w:cs="Times New Roman"/>
      <w:color w:val="FF0000"/>
      <w:kern w:val="0"/>
      <w:sz w:val="20"/>
      <w:lang w:eastAsia="en-US"/>
    </w:rPr>
  </w:style>
  <w:style w:type="paragraph" w:customStyle="1" w:styleId="78">
    <w:name w:val="正文首行缩进1"/>
    <w:basedOn w:val="17"/>
    <w:qFormat/>
    <w:uiPriority w:val="0"/>
    <w:pPr>
      <w:suppressAutoHyphens/>
      <w:autoSpaceDE/>
      <w:autoSpaceDN/>
      <w:adjustRightInd/>
      <w:spacing w:before="0"/>
      <w:ind w:left="0" w:firstLine="420"/>
      <w:jc w:val="both"/>
      <w:textAlignment w:val="auto"/>
    </w:pPr>
    <w:rPr>
      <w:rFonts w:ascii="Times New Roman" w:hAnsi="Times New Roman" w:eastAsia="幼圆"/>
      <w:kern w:val="1"/>
      <w:sz w:val="21"/>
      <w:szCs w:val="24"/>
      <w:lang w:eastAsia="ar-SA"/>
    </w:rPr>
  </w:style>
  <w:style w:type="paragraph" w:customStyle="1" w:styleId="79">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80">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81">
    <w:name w:val="批注文字 Char"/>
    <w:basedOn w:val="40"/>
    <w:link w:val="16"/>
    <w:qFormat/>
    <w:uiPriority w:val="0"/>
    <w:rPr>
      <w:rFonts w:asciiTheme="minorHAnsi" w:hAnsiTheme="minorHAnsi" w:eastAsiaTheme="minorEastAsia" w:cstheme="minorBidi"/>
      <w:kern w:val="2"/>
      <w:sz w:val="21"/>
      <w:szCs w:val="22"/>
    </w:rPr>
  </w:style>
  <w:style w:type="character" w:customStyle="1" w:styleId="82">
    <w:name w:val="批注主题 Char"/>
    <w:basedOn w:val="81"/>
    <w:link w:val="35"/>
    <w:qFormat/>
    <w:uiPriority w:val="0"/>
    <w:rPr>
      <w:b/>
      <w:bCs/>
      <w:szCs w:val="24"/>
    </w:rPr>
  </w:style>
  <w:style w:type="character" w:customStyle="1" w:styleId="83">
    <w:name w:val="题注 Char"/>
    <w:link w:val="14"/>
    <w:qFormat/>
    <w:uiPriority w:val="0"/>
    <w:rPr>
      <w:rFonts w:ascii="Cambria" w:hAnsi="Cambria" w:eastAsia="黑体"/>
      <w:kern w:val="2"/>
    </w:rPr>
  </w:style>
  <w:style w:type="character" w:customStyle="1" w:styleId="84">
    <w:name w:val="正文文本缩进 Char"/>
    <w:basedOn w:val="40"/>
    <w:link w:val="18"/>
    <w:qFormat/>
    <w:uiPriority w:val="99"/>
    <w:rPr>
      <w:kern w:val="2"/>
      <w:sz w:val="28"/>
      <w:szCs w:val="24"/>
    </w:rPr>
  </w:style>
  <w:style w:type="character" w:customStyle="1" w:styleId="85">
    <w:name w:val="正文文本缩进 2 Char"/>
    <w:basedOn w:val="40"/>
    <w:link w:val="22"/>
    <w:qFormat/>
    <w:uiPriority w:val="0"/>
    <w:rPr>
      <w:kern w:val="2"/>
      <w:sz w:val="24"/>
      <w:szCs w:val="24"/>
    </w:rPr>
  </w:style>
  <w:style w:type="character" w:customStyle="1" w:styleId="86">
    <w:name w:val="HTML 预设格式 Char"/>
    <w:basedOn w:val="40"/>
    <w:link w:val="32"/>
    <w:qFormat/>
    <w:uiPriority w:val="99"/>
    <w:rPr>
      <w:rFonts w:ascii="宋体" w:hAnsi="宋体" w:cs="宋体"/>
      <w:sz w:val="24"/>
      <w:szCs w:val="24"/>
    </w:rPr>
  </w:style>
  <w:style w:type="paragraph" w:customStyle="1" w:styleId="87">
    <w:name w:val="单元格"/>
    <w:basedOn w:val="1"/>
    <w:qFormat/>
    <w:uiPriority w:val="0"/>
    <w:pPr>
      <w:widowControl/>
      <w:spacing w:before="60" w:after="60"/>
      <w:jc w:val="left"/>
    </w:pPr>
    <w:rPr>
      <w:rFonts w:ascii="Garamond" w:hAnsi="Garamond" w:eastAsia="宋体" w:cs="Times New Roman"/>
      <w:kern w:val="0"/>
      <w:sz w:val="20"/>
      <w:szCs w:val="20"/>
    </w:rPr>
  </w:style>
  <w:style w:type="paragraph" w:customStyle="1" w:styleId="88">
    <w:name w:val="活动描述列表1"/>
    <w:basedOn w:val="13"/>
    <w:qFormat/>
    <w:uiPriority w:val="0"/>
    <w:pPr>
      <w:numPr>
        <w:ilvl w:val="0"/>
        <w:numId w:val="2"/>
      </w:numPr>
      <w:tabs>
        <w:tab w:val="left" w:pos="840"/>
        <w:tab w:val="clear" w:pos="1320"/>
      </w:tabs>
      <w:ind w:left="840" w:firstLine="0" w:firstLineChars="0"/>
    </w:pPr>
  </w:style>
  <w:style w:type="paragraph" w:customStyle="1" w:styleId="89">
    <w:name w:val="活动项目内容描述"/>
    <w:basedOn w:val="8"/>
    <w:qFormat/>
    <w:uiPriority w:val="0"/>
    <w:pPr>
      <w:widowControl w:val="0"/>
      <w:spacing w:beforeAutospacing="0" w:afterAutospacing="0"/>
      <w:ind w:firstLine="420" w:firstLineChars="200"/>
      <w:jc w:val="both"/>
    </w:pPr>
    <w:rPr>
      <w:rFonts w:ascii="Times New Roman" w:hAnsi="Times New Roman" w:cs="Times New Roman"/>
      <w:sz w:val="21"/>
    </w:rPr>
  </w:style>
  <w:style w:type="paragraph" w:customStyle="1" w:styleId="90">
    <w:name w:val="底层要点"/>
    <w:basedOn w:val="1"/>
    <w:qFormat/>
    <w:uiPriority w:val="0"/>
    <w:pPr>
      <w:spacing w:line="300" w:lineRule="auto"/>
      <w:ind w:firstLine="420"/>
      <w:jc w:val="left"/>
    </w:pPr>
    <w:rPr>
      <w:rFonts w:ascii="Times New Roman" w:hAnsi="Times New Roman" w:eastAsia="宋体" w:cs="Times New Roman"/>
      <w:b/>
      <w:bCs/>
      <w:i/>
      <w:iCs/>
      <w:snapToGrid w:val="0"/>
      <w:color w:val="800000"/>
      <w:kern w:val="0"/>
      <w:szCs w:val="24"/>
    </w:rPr>
  </w:style>
  <w:style w:type="paragraph" w:customStyle="1" w:styleId="91">
    <w:name w:val="样式 标题 1 + 宋体 小三 加粗 两端对齐"/>
    <w:basedOn w:val="2"/>
    <w:qFormat/>
    <w:uiPriority w:val="0"/>
    <w:pPr>
      <w:tabs>
        <w:tab w:val="left" w:pos="432"/>
      </w:tabs>
      <w:ind w:left="432" w:hanging="432"/>
    </w:pPr>
    <w:rPr>
      <w:rFonts w:ascii="宋体" w:hAnsi="Times New Roman" w:eastAsia="宋体" w:cs="宋体"/>
      <w:sz w:val="36"/>
      <w:szCs w:val="20"/>
    </w:rPr>
  </w:style>
  <w:style w:type="paragraph" w:customStyle="1" w:styleId="92">
    <w:name w:val="彩色列表 - 着色 11"/>
    <w:basedOn w:val="1"/>
    <w:link w:val="93"/>
    <w:qFormat/>
    <w:uiPriority w:val="0"/>
    <w:pPr>
      <w:spacing w:line="360" w:lineRule="auto"/>
      <w:ind w:firstLine="200" w:firstLineChars="200"/>
    </w:pPr>
    <w:rPr>
      <w:rFonts w:ascii="Times New Roman" w:hAnsi="Times New Roman" w:eastAsia="宋体" w:cs="Times New Roman"/>
      <w:sz w:val="24"/>
      <w:szCs w:val="20"/>
    </w:rPr>
  </w:style>
  <w:style w:type="character" w:customStyle="1" w:styleId="93">
    <w:name w:val="彩色列表 - 着色 1 Char"/>
    <w:link w:val="92"/>
    <w:qFormat/>
    <w:uiPriority w:val="0"/>
    <w:rPr>
      <w:kern w:val="2"/>
      <w:sz w:val="24"/>
    </w:rPr>
  </w:style>
  <w:style w:type="paragraph" w:customStyle="1" w:styleId="94">
    <w:name w:val="Char Char Char1 Char"/>
    <w:basedOn w:val="1"/>
    <w:qFormat/>
    <w:uiPriority w:val="0"/>
    <w:pPr>
      <w:spacing w:line="360" w:lineRule="auto"/>
      <w:ind w:firstLine="200" w:firstLineChars="200"/>
    </w:pPr>
    <w:rPr>
      <w:rFonts w:ascii="Times New Roman" w:hAnsi="Times New Roman" w:eastAsia="宋体" w:cs="Times New Roman"/>
      <w:sz w:val="28"/>
      <w:szCs w:val="20"/>
    </w:rPr>
  </w:style>
  <w:style w:type="paragraph" w:customStyle="1" w:styleId="95">
    <w:name w:val="附录"/>
    <w:basedOn w:val="1"/>
    <w:next w:val="1"/>
    <w:qFormat/>
    <w:uiPriority w:val="0"/>
    <w:pPr>
      <w:tabs>
        <w:tab w:val="left" w:pos="1361"/>
      </w:tabs>
      <w:adjustRightInd w:val="0"/>
      <w:snapToGrid w:val="0"/>
      <w:spacing w:afterLines="50"/>
      <w:ind w:left="1361" w:hanging="1361"/>
      <w:jc w:val="left"/>
    </w:pPr>
    <w:rPr>
      <w:rFonts w:ascii="Times New Roman" w:hAnsi="Times New Roman" w:eastAsia="宋体" w:cs="Times New Roman"/>
      <w:b/>
      <w:sz w:val="30"/>
      <w:szCs w:val="28"/>
    </w:rPr>
  </w:style>
  <w:style w:type="paragraph" w:customStyle="1" w:styleId="96">
    <w:name w:val="缩进正文"/>
    <w:basedOn w:val="1"/>
    <w:link w:val="97"/>
    <w:qFormat/>
    <w:uiPriority w:val="0"/>
    <w:pPr>
      <w:spacing w:line="312" w:lineRule="auto"/>
      <w:ind w:left="1701"/>
      <w:jc w:val="left"/>
    </w:pPr>
    <w:rPr>
      <w:rFonts w:ascii="Times New Roman" w:hAnsi="Times New Roman" w:eastAsia="宋体" w:cs="Times New Roman"/>
      <w:sz w:val="24"/>
      <w:szCs w:val="24"/>
    </w:rPr>
  </w:style>
  <w:style w:type="character" w:customStyle="1" w:styleId="97">
    <w:name w:val="缩进正文 Char"/>
    <w:link w:val="96"/>
    <w:qFormat/>
    <w:uiPriority w:val="0"/>
    <w:rPr>
      <w:kern w:val="2"/>
      <w:sz w:val="24"/>
      <w:szCs w:val="24"/>
    </w:rPr>
  </w:style>
  <w:style w:type="character" w:customStyle="1" w:styleId="98">
    <w:name w:val="彩色列表 - 着色 1 Char1"/>
    <w:qFormat/>
    <w:uiPriority w:val="34"/>
    <w:rPr>
      <w:kern w:val="2"/>
      <w:sz w:val="21"/>
      <w:szCs w:val="24"/>
    </w:rPr>
  </w:style>
  <w:style w:type="paragraph" w:customStyle="1" w:styleId="99">
    <w:name w:val="标题 4（绿盟科技）"/>
    <w:basedOn w:val="5"/>
    <w:next w:val="1"/>
    <w:qFormat/>
    <w:uiPriority w:val="0"/>
    <w:pPr>
      <w:keepLines w:val="0"/>
      <w:widowControl/>
      <w:tabs>
        <w:tab w:val="left" w:pos="864"/>
        <w:tab w:val="left" w:pos="1050"/>
      </w:tabs>
      <w:adjustRightInd w:val="0"/>
      <w:snapToGrid w:val="0"/>
      <w:spacing w:beforeLines="100" w:afterLines="100"/>
      <w:ind w:left="864" w:hanging="864"/>
      <w:textAlignment w:val="baseline"/>
    </w:pPr>
    <w:rPr>
      <w:rFonts w:ascii="宋体" w:hAnsi="宋体" w:eastAsia="宋体" w:cs="Times New Roman"/>
      <w:bCs w:val="0"/>
      <w:kern w:val="0"/>
    </w:rPr>
  </w:style>
  <w:style w:type="paragraph" w:customStyle="1" w:styleId="100">
    <w:name w:val="正文（绿盟科技）"/>
    <w:link w:val="101"/>
    <w:qFormat/>
    <w:uiPriority w:val="0"/>
    <w:pPr>
      <w:spacing w:line="300" w:lineRule="auto"/>
    </w:pPr>
    <w:rPr>
      <w:rFonts w:ascii="Arial" w:hAnsi="Arial" w:eastAsia="宋体" w:cs="Times New Roman"/>
      <w:sz w:val="21"/>
      <w:szCs w:val="21"/>
      <w:lang w:val="en-US" w:eastAsia="zh-CN" w:bidi="ar-SA"/>
    </w:rPr>
  </w:style>
  <w:style w:type="character" w:customStyle="1" w:styleId="101">
    <w:name w:val="正文（绿盟科技） Char"/>
    <w:link w:val="100"/>
    <w:qFormat/>
    <w:uiPriority w:val="0"/>
    <w:rPr>
      <w:rFonts w:ascii="Arial" w:hAnsi="Arial"/>
      <w:sz w:val="21"/>
      <w:szCs w:val="21"/>
    </w:rPr>
  </w:style>
  <w:style w:type="paragraph" w:customStyle="1" w:styleId="102">
    <w:name w:val="0"/>
    <w:basedOn w:val="1"/>
    <w:qFormat/>
    <w:uiPriority w:val="0"/>
    <w:pPr>
      <w:widowControl/>
      <w:snapToGrid w:val="0"/>
    </w:pPr>
    <w:rPr>
      <w:rFonts w:ascii="Times New Roman" w:hAnsi="Times New Roman" w:eastAsia="宋体" w:cs="Times New Roman"/>
      <w:kern w:val="0"/>
      <w:szCs w:val="20"/>
    </w:rPr>
  </w:style>
  <w:style w:type="character" w:customStyle="1" w:styleId="103">
    <w:name w:val="正文（绿盟科技） Char Char"/>
    <w:qFormat/>
    <w:uiPriority w:val="0"/>
    <w:rPr>
      <w:rFonts w:ascii="Arial" w:hAnsi="Arial"/>
      <w:szCs w:val="21"/>
    </w:rPr>
  </w:style>
  <w:style w:type="paragraph" w:customStyle="1" w:styleId="104">
    <w:name w:val="*正文"/>
    <w:basedOn w:val="1"/>
    <w:link w:val="105"/>
    <w:qFormat/>
    <w:uiPriority w:val="0"/>
    <w:pPr>
      <w:spacing w:line="360" w:lineRule="auto"/>
      <w:ind w:firstLine="200" w:firstLineChars="200"/>
    </w:pPr>
    <w:rPr>
      <w:rFonts w:ascii="宋体" w:hAnsi="宋体" w:eastAsia="宋体" w:cs="仿宋_GB2312"/>
      <w:sz w:val="24"/>
      <w:szCs w:val="24"/>
    </w:rPr>
  </w:style>
  <w:style w:type="character" w:customStyle="1" w:styleId="105">
    <w:name w:val="*正文 Char"/>
    <w:link w:val="104"/>
    <w:qFormat/>
    <w:uiPriority w:val="0"/>
    <w:rPr>
      <w:rFonts w:ascii="宋体" w:hAnsi="宋体" w:cs="仿宋_GB2312"/>
      <w:kern w:val="2"/>
      <w:sz w:val="24"/>
      <w:szCs w:val="24"/>
    </w:rPr>
  </w:style>
  <w:style w:type="paragraph" w:styleId="106">
    <w:name w:val="List Paragraph"/>
    <w:basedOn w:val="1"/>
    <w:qFormat/>
    <w:uiPriority w:val="34"/>
    <w:pPr>
      <w:ind w:firstLine="420" w:firstLineChars="200"/>
    </w:pPr>
    <w:rPr>
      <w:rFonts w:ascii="Times New Roman" w:hAnsi="Times New Roman" w:eastAsia="宋体" w:cs="Times New Roman"/>
      <w:szCs w:val="24"/>
    </w:rPr>
  </w:style>
  <w:style w:type="character" w:customStyle="1" w:styleId="107">
    <w:name w:val="apple-converted-space"/>
    <w:qFormat/>
    <w:uiPriority w:val="0"/>
  </w:style>
  <w:style w:type="paragraph" w:customStyle="1" w:styleId="108">
    <w:name w:val="正文缩进1"/>
    <w:basedOn w:val="1"/>
    <w:qFormat/>
    <w:uiPriority w:val="0"/>
    <w:pPr>
      <w:ind w:firstLine="420" w:firstLineChars="200"/>
    </w:pPr>
    <w:rPr>
      <w:rFonts w:ascii="Times New Roman" w:hAnsi="Times New Roman" w:eastAsia="宋体" w:cs="Times New Roman"/>
      <w:szCs w:val="24"/>
    </w:rPr>
  </w:style>
  <w:style w:type="paragraph" w:customStyle="1" w:styleId="109">
    <w:name w:val="第4级标准章、条内容"/>
    <w:basedOn w:val="5"/>
    <w:qFormat/>
    <w:uiPriority w:val="0"/>
    <w:pPr>
      <w:keepNext w:val="0"/>
      <w:keepLines w:val="0"/>
      <w:widowControl/>
      <w:tabs>
        <w:tab w:val="left" w:pos="420"/>
        <w:tab w:val="left" w:pos="864"/>
      </w:tabs>
      <w:spacing w:before="0" w:after="0" w:line="300" w:lineRule="auto"/>
      <w:ind w:left="425" w:hanging="425"/>
      <w:jc w:val="left"/>
    </w:pPr>
    <w:rPr>
      <w:rFonts w:ascii="宋体" w:hAnsi="宋体" w:eastAsia="宋体" w:cs="Times New Roman"/>
      <w:b w:val="0"/>
      <w:bCs w:val="0"/>
      <w:sz w:val="21"/>
      <w:szCs w:val="21"/>
    </w:rPr>
  </w:style>
  <w:style w:type="paragraph" w:customStyle="1" w:styleId="110">
    <w:name w:val="标准正文"/>
    <w:basedOn w:val="1"/>
    <w:qFormat/>
    <w:uiPriority w:val="0"/>
    <w:pPr>
      <w:widowControl/>
      <w:spacing w:line="300" w:lineRule="auto"/>
      <w:ind w:firstLine="420" w:firstLineChars="200"/>
    </w:pPr>
    <w:rPr>
      <w:rFonts w:ascii="宋体" w:hAnsi="Times New Roman" w:eastAsia="宋体" w:cs="Times New Roman"/>
      <w:szCs w:val="20"/>
    </w:rPr>
  </w:style>
  <w:style w:type="paragraph" w:customStyle="1" w:styleId="111">
    <w:name w:val="正文缩进2"/>
    <w:basedOn w:val="1"/>
    <w:qFormat/>
    <w:uiPriority w:val="0"/>
    <w:pPr>
      <w:ind w:firstLine="420" w:firstLineChars="200"/>
    </w:pPr>
    <w:rPr>
      <w:rFonts w:ascii="Times New Roman" w:hAnsi="Times New Roman" w:eastAsia="宋体" w:cs="Times New Roman"/>
      <w:szCs w:val="24"/>
    </w:rPr>
  </w:style>
  <w:style w:type="paragraph" w:customStyle="1" w:styleId="112">
    <w:name w:val="报告执行人"/>
    <w:basedOn w:val="1"/>
    <w:qFormat/>
    <w:uiPriority w:val="0"/>
    <w:pPr>
      <w:autoSpaceDE w:val="0"/>
      <w:autoSpaceDN w:val="0"/>
      <w:adjustRightInd w:val="0"/>
      <w:spacing w:line="360" w:lineRule="exact"/>
      <w:jc w:val="left"/>
    </w:pPr>
    <w:rPr>
      <w:rFonts w:ascii="Arial" w:hAnsi="Arial" w:eastAsia="仿宋_GB2312" w:cs="宋体"/>
      <w:kern w:val="0"/>
      <w:sz w:val="24"/>
      <w:szCs w:val="20"/>
    </w:rPr>
  </w:style>
  <w:style w:type="character" w:customStyle="1" w:styleId="113">
    <w:name w:val="表格内容 Char Char"/>
    <w:link w:val="114"/>
    <w:qFormat/>
    <w:uiPriority w:val="0"/>
    <w:rPr>
      <w:rFonts w:ascii="楷体_GB2312" w:eastAsia="楷体_GB2312" w:cs="宋体"/>
      <w:sz w:val="24"/>
      <w:szCs w:val="24"/>
    </w:rPr>
  </w:style>
  <w:style w:type="paragraph" w:customStyle="1" w:styleId="114">
    <w:name w:val="表格内容"/>
    <w:basedOn w:val="1"/>
    <w:link w:val="113"/>
    <w:qFormat/>
    <w:uiPriority w:val="0"/>
    <w:pPr>
      <w:autoSpaceDE w:val="0"/>
      <w:autoSpaceDN w:val="0"/>
      <w:adjustRightInd w:val="0"/>
      <w:spacing w:line="360" w:lineRule="exact"/>
      <w:jc w:val="left"/>
    </w:pPr>
    <w:rPr>
      <w:rFonts w:ascii="楷体_GB2312" w:hAnsi="Times New Roman" w:eastAsia="楷体_GB2312" w:cs="宋体"/>
      <w:kern w:val="0"/>
      <w:sz w:val="24"/>
      <w:szCs w:val="24"/>
    </w:rPr>
  </w:style>
  <w:style w:type="paragraph" w:customStyle="1" w:styleId="115">
    <w:name w:val="Table Paragraph"/>
    <w:basedOn w:val="1"/>
    <w:qFormat/>
    <w:uiPriority w:val="1"/>
    <w:pPr>
      <w:autoSpaceDE w:val="0"/>
      <w:autoSpaceDN w:val="0"/>
      <w:ind w:left="107"/>
      <w:jc w:val="left"/>
    </w:pPr>
    <w:rPr>
      <w:rFonts w:ascii="Arial" w:hAnsi="Arial" w:eastAsia="Arial" w:cs="Arial"/>
      <w:kern w:val="0"/>
      <w:sz w:val="22"/>
      <w:lang w:val="zh-CN" w:bidi="zh-CN"/>
    </w:rPr>
  </w:style>
  <w:style w:type="table" w:customStyle="1" w:styleId="116">
    <w:name w:val="Table Normal"/>
    <w:unhideWhenUsed/>
    <w:qFormat/>
    <w:uiPriority w:val="2"/>
    <w:pPr>
      <w:widowControl w:val="0"/>
      <w:autoSpaceDE w:val="0"/>
      <w:autoSpaceDN w:val="0"/>
    </w:pPr>
    <w:rPr>
      <w:sz w:val="22"/>
      <w:szCs w:val="22"/>
      <w:lang w:eastAsia="en-US" w:bidi="mn-Mong-CN"/>
    </w:rPr>
    <w:tblPr>
      <w:tblCellMar>
        <w:top w:w="0" w:type="dxa"/>
        <w:left w:w="0" w:type="dxa"/>
        <w:bottom w:w="0" w:type="dxa"/>
        <w:right w:w="0" w:type="dxa"/>
      </w:tblCellMar>
    </w:tblPr>
  </w:style>
  <w:style w:type="paragraph" w:customStyle="1" w:styleId="117">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lang w:bidi="mn-Mong-CN"/>
    </w:rPr>
  </w:style>
  <w:style w:type="paragraph" w:customStyle="1" w:styleId="118">
    <w:name w:val="WPSOffice手动目录 1"/>
    <w:qFormat/>
    <w:uiPriority w:val="0"/>
    <w:rPr>
      <w:rFonts w:ascii="Times New Roman" w:hAnsi="Times New Roman" w:eastAsia="宋体" w:cs="Times New Roman"/>
      <w:lang w:val="en-US" w:eastAsia="zh-CN" w:bidi="ar-SA"/>
    </w:rPr>
  </w:style>
  <w:style w:type="paragraph" w:customStyle="1" w:styleId="119">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image" Target="media/image47.emf"/><Relationship Id="rId97" Type="http://schemas.openxmlformats.org/officeDocument/2006/relationships/oleObject" Target="embeddings/oleObject45.bin"/><Relationship Id="rId96" Type="http://schemas.openxmlformats.org/officeDocument/2006/relationships/image" Target="media/image46.emf"/><Relationship Id="rId95" Type="http://schemas.openxmlformats.org/officeDocument/2006/relationships/oleObject" Target="embeddings/oleObject44.bin"/><Relationship Id="rId94" Type="http://schemas.openxmlformats.org/officeDocument/2006/relationships/image" Target="media/image45.emf"/><Relationship Id="rId93" Type="http://schemas.openxmlformats.org/officeDocument/2006/relationships/oleObject" Target="embeddings/oleObject43.bin"/><Relationship Id="rId92" Type="http://schemas.openxmlformats.org/officeDocument/2006/relationships/image" Target="media/image44.emf"/><Relationship Id="rId91" Type="http://schemas.openxmlformats.org/officeDocument/2006/relationships/oleObject" Target="embeddings/oleObject42.bin"/><Relationship Id="rId90" Type="http://schemas.openxmlformats.org/officeDocument/2006/relationships/image" Target="media/image43.emf"/><Relationship Id="rId9" Type="http://schemas.openxmlformats.org/officeDocument/2006/relationships/image" Target="media/image3.jpeg"/><Relationship Id="rId89" Type="http://schemas.openxmlformats.org/officeDocument/2006/relationships/oleObject" Target="embeddings/oleObject41.bin"/><Relationship Id="rId88" Type="http://schemas.openxmlformats.org/officeDocument/2006/relationships/image" Target="media/image42.emf"/><Relationship Id="rId87" Type="http://schemas.openxmlformats.org/officeDocument/2006/relationships/oleObject" Target="embeddings/oleObject40.bin"/><Relationship Id="rId86" Type="http://schemas.openxmlformats.org/officeDocument/2006/relationships/image" Target="media/image41.emf"/><Relationship Id="rId85" Type="http://schemas.openxmlformats.org/officeDocument/2006/relationships/oleObject" Target="embeddings/oleObject39.bin"/><Relationship Id="rId84" Type="http://schemas.openxmlformats.org/officeDocument/2006/relationships/image" Target="media/image40.emf"/><Relationship Id="rId83" Type="http://schemas.openxmlformats.org/officeDocument/2006/relationships/oleObject" Target="embeddings/oleObject38.bin"/><Relationship Id="rId82" Type="http://schemas.openxmlformats.org/officeDocument/2006/relationships/image" Target="media/image39.emf"/><Relationship Id="rId81" Type="http://schemas.openxmlformats.org/officeDocument/2006/relationships/oleObject" Target="embeddings/oleObject37.bin"/><Relationship Id="rId80" Type="http://schemas.openxmlformats.org/officeDocument/2006/relationships/image" Target="media/image38.emf"/><Relationship Id="rId8" Type="http://schemas.openxmlformats.org/officeDocument/2006/relationships/theme" Target="theme/theme1.xml"/><Relationship Id="rId79" Type="http://schemas.openxmlformats.org/officeDocument/2006/relationships/oleObject" Target="embeddings/oleObject36.bin"/><Relationship Id="rId78" Type="http://schemas.openxmlformats.org/officeDocument/2006/relationships/image" Target="media/image37.emf"/><Relationship Id="rId77" Type="http://schemas.openxmlformats.org/officeDocument/2006/relationships/oleObject" Target="embeddings/oleObject35.bin"/><Relationship Id="rId76" Type="http://schemas.openxmlformats.org/officeDocument/2006/relationships/image" Target="media/image36.emf"/><Relationship Id="rId75" Type="http://schemas.openxmlformats.org/officeDocument/2006/relationships/oleObject" Target="embeddings/oleObject34.bin"/><Relationship Id="rId74" Type="http://schemas.openxmlformats.org/officeDocument/2006/relationships/image" Target="media/image35.emf"/><Relationship Id="rId73" Type="http://schemas.openxmlformats.org/officeDocument/2006/relationships/oleObject" Target="embeddings/oleObject33.bin"/><Relationship Id="rId72" Type="http://schemas.openxmlformats.org/officeDocument/2006/relationships/image" Target="media/image34.emf"/><Relationship Id="rId71" Type="http://schemas.openxmlformats.org/officeDocument/2006/relationships/oleObject" Target="embeddings/oleObject32.bin"/><Relationship Id="rId70" Type="http://schemas.openxmlformats.org/officeDocument/2006/relationships/image" Target="media/image33.emf"/><Relationship Id="rId7" Type="http://schemas.openxmlformats.org/officeDocument/2006/relationships/footer" Target="footer2.xml"/><Relationship Id="rId69" Type="http://schemas.openxmlformats.org/officeDocument/2006/relationships/oleObject" Target="embeddings/oleObject31.bin"/><Relationship Id="rId68" Type="http://schemas.openxmlformats.org/officeDocument/2006/relationships/image" Target="media/image32.emf"/><Relationship Id="rId67" Type="http://schemas.openxmlformats.org/officeDocument/2006/relationships/oleObject" Target="embeddings/oleObject30.bin"/><Relationship Id="rId66" Type="http://schemas.openxmlformats.org/officeDocument/2006/relationships/image" Target="media/image31.emf"/><Relationship Id="rId65" Type="http://schemas.openxmlformats.org/officeDocument/2006/relationships/oleObject" Target="embeddings/oleObject29.bin"/><Relationship Id="rId64" Type="http://schemas.openxmlformats.org/officeDocument/2006/relationships/image" Target="media/image30.emf"/><Relationship Id="rId63" Type="http://schemas.openxmlformats.org/officeDocument/2006/relationships/oleObject" Target="embeddings/oleObject28.bin"/><Relationship Id="rId62" Type="http://schemas.openxmlformats.org/officeDocument/2006/relationships/oleObject" Target="embeddings/oleObject27.bin"/><Relationship Id="rId61" Type="http://schemas.openxmlformats.org/officeDocument/2006/relationships/image" Target="media/image29.emf"/><Relationship Id="rId60" Type="http://schemas.openxmlformats.org/officeDocument/2006/relationships/oleObject" Target="embeddings/oleObject26.bin"/><Relationship Id="rId6" Type="http://schemas.openxmlformats.org/officeDocument/2006/relationships/footer" Target="footer1.xml"/><Relationship Id="rId59" Type="http://schemas.openxmlformats.org/officeDocument/2006/relationships/image" Target="media/image28.emf"/><Relationship Id="rId58" Type="http://schemas.openxmlformats.org/officeDocument/2006/relationships/oleObject" Target="embeddings/oleObject25.bin"/><Relationship Id="rId57" Type="http://schemas.openxmlformats.org/officeDocument/2006/relationships/image" Target="media/image27.emf"/><Relationship Id="rId56" Type="http://schemas.openxmlformats.org/officeDocument/2006/relationships/oleObject" Target="embeddings/oleObject24.bin"/><Relationship Id="rId55" Type="http://schemas.openxmlformats.org/officeDocument/2006/relationships/image" Target="media/image26.emf"/><Relationship Id="rId54" Type="http://schemas.openxmlformats.org/officeDocument/2006/relationships/oleObject" Target="embeddings/oleObject23.bin"/><Relationship Id="rId53" Type="http://schemas.openxmlformats.org/officeDocument/2006/relationships/image" Target="media/image25.emf"/><Relationship Id="rId52" Type="http://schemas.openxmlformats.org/officeDocument/2006/relationships/oleObject" Target="embeddings/oleObject22.bin"/><Relationship Id="rId51" Type="http://schemas.openxmlformats.org/officeDocument/2006/relationships/image" Target="media/image24.emf"/><Relationship Id="rId50" Type="http://schemas.openxmlformats.org/officeDocument/2006/relationships/oleObject" Target="embeddings/oleObject21.bin"/><Relationship Id="rId5" Type="http://schemas.openxmlformats.org/officeDocument/2006/relationships/header" Target="header3.xml"/><Relationship Id="rId49" Type="http://schemas.openxmlformats.org/officeDocument/2006/relationships/image" Target="media/image23.emf"/><Relationship Id="rId48" Type="http://schemas.openxmlformats.org/officeDocument/2006/relationships/oleObject" Target="embeddings/oleObject20.bin"/><Relationship Id="rId47" Type="http://schemas.openxmlformats.org/officeDocument/2006/relationships/image" Target="media/image22.emf"/><Relationship Id="rId46" Type="http://schemas.openxmlformats.org/officeDocument/2006/relationships/oleObject" Target="embeddings/oleObject19.bin"/><Relationship Id="rId45" Type="http://schemas.openxmlformats.org/officeDocument/2006/relationships/image" Target="media/image21.emf"/><Relationship Id="rId44" Type="http://schemas.openxmlformats.org/officeDocument/2006/relationships/oleObject" Target="embeddings/oleObject18.bin"/><Relationship Id="rId43" Type="http://schemas.openxmlformats.org/officeDocument/2006/relationships/image" Target="media/image20.emf"/><Relationship Id="rId42" Type="http://schemas.openxmlformats.org/officeDocument/2006/relationships/oleObject" Target="embeddings/oleObject17.bin"/><Relationship Id="rId41" Type="http://schemas.openxmlformats.org/officeDocument/2006/relationships/image" Target="media/image19.emf"/><Relationship Id="rId40" Type="http://schemas.openxmlformats.org/officeDocument/2006/relationships/oleObject" Target="embeddings/oleObject16.bin"/><Relationship Id="rId4" Type="http://schemas.openxmlformats.org/officeDocument/2006/relationships/header" Target="header2.xml"/><Relationship Id="rId39" Type="http://schemas.openxmlformats.org/officeDocument/2006/relationships/image" Target="media/image18.emf"/><Relationship Id="rId38" Type="http://schemas.openxmlformats.org/officeDocument/2006/relationships/oleObject" Target="embeddings/oleObject15.bin"/><Relationship Id="rId37" Type="http://schemas.openxmlformats.org/officeDocument/2006/relationships/image" Target="media/image17.emf"/><Relationship Id="rId36" Type="http://schemas.openxmlformats.org/officeDocument/2006/relationships/oleObject" Target="embeddings/oleObject14.bin"/><Relationship Id="rId35" Type="http://schemas.openxmlformats.org/officeDocument/2006/relationships/image" Target="media/image16.emf"/><Relationship Id="rId34" Type="http://schemas.openxmlformats.org/officeDocument/2006/relationships/oleObject" Target="embeddings/oleObject13.bin"/><Relationship Id="rId33" Type="http://schemas.openxmlformats.org/officeDocument/2006/relationships/image" Target="media/image15.emf"/><Relationship Id="rId32" Type="http://schemas.openxmlformats.org/officeDocument/2006/relationships/oleObject" Target="embeddings/oleObject12.bin"/><Relationship Id="rId31" Type="http://schemas.openxmlformats.org/officeDocument/2006/relationships/image" Target="media/image14.e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13.emf"/><Relationship Id="rId28" Type="http://schemas.openxmlformats.org/officeDocument/2006/relationships/oleObject" Target="embeddings/oleObject10.bin"/><Relationship Id="rId27" Type="http://schemas.openxmlformats.org/officeDocument/2006/relationships/oleObject" Target="embeddings/oleObject9.bin"/><Relationship Id="rId26" Type="http://schemas.openxmlformats.org/officeDocument/2006/relationships/image" Target="media/image12.emf"/><Relationship Id="rId25" Type="http://schemas.openxmlformats.org/officeDocument/2006/relationships/oleObject" Target="embeddings/oleObject8.bin"/><Relationship Id="rId24" Type="http://schemas.openxmlformats.org/officeDocument/2006/relationships/image" Target="media/image11.emf"/><Relationship Id="rId23" Type="http://schemas.openxmlformats.org/officeDocument/2006/relationships/oleObject" Target="embeddings/oleObject7.bin"/><Relationship Id="rId22" Type="http://schemas.openxmlformats.org/officeDocument/2006/relationships/image" Target="media/image10.emf"/><Relationship Id="rId21" Type="http://schemas.openxmlformats.org/officeDocument/2006/relationships/oleObject" Target="embeddings/oleObject6.bin"/><Relationship Id="rId208" Type="http://schemas.openxmlformats.org/officeDocument/2006/relationships/fontTable" Target="fontTable.xml"/><Relationship Id="rId207" Type="http://schemas.openxmlformats.org/officeDocument/2006/relationships/customXml" Target="../customXml/item2.xml"/><Relationship Id="rId206" Type="http://schemas.openxmlformats.org/officeDocument/2006/relationships/numbering" Target="numbering.xml"/><Relationship Id="rId205" Type="http://schemas.openxmlformats.org/officeDocument/2006/relationships/customXml" Target="../customXml/item1.xml"/><Relationship Id="rId204" Type="http://schemas.openxmlformats.org/officeDocument/2006/relationships/image" Target="media/image132.png"/><Relationship Id="rId203" Type="http://schemas.openxmlformats.org/officeDocument/2006/relationships/image" Target="media/image131.png"/><Relationship Id="rId202" Type="http://schemas.openxmlformats.org/officeDocument/2006/relationships/image" Target="media/image130.png"/><Relationship Id="rId201" Type="http://schemas.openxmlformats.org/officeDocument/2006/relationships/image" Target="media/image129.png"/><Relationship Id="rId200" Type="http://schemas.openxmlformats.org/officeDocument/2006/relationships/image" Target="media/image128.png"/><Relationship Id="rId20" Type="http://schemas.openxmlformats.org/officeDocument/2006/relationships/image" Target="media/image9.emf"/><Relationship Id="rId2" Type="http://schemas.openxmlformats.org/officeDocument/2006/relationships/settings" Target="settings.xml"/><Relationship Id="rId199" Type="http://schemas.openxmlformats.org/officeDocument/2006/relationships/image" Target="media/image127.png"/><Relationship Id="rId198" Type="http://schemas.openxmlformats.org/officeDocument/2006/relationships/image" Target="media/image126.png"/><Relationship Id="rId197" Type="http://schemas.openxmlformats.org/officeDocument/2006/relationships/image" Target="media/image125.png"/><Relationship Id="rId196" Type="http://schemas.openxmlformats.org/officeDocument/2006/relationships/image" Target="media/image124.png"/><Relationship Id="rId195" Type="http://schemas.openxmlformats.org/officeDocument/2006/relationships/image" Target="media/image123.emf"/><Relationship Id="rId194" Type="http://schemas.openxmlformats.org/officeDocument/2006/relationships/oleObject" Target="embeddings/oleObject66.bin"/><Relationship Id="rId193" Type="http://schemas.openxmlformats.org/officeDocument/2006/relationships/image" Target="media/image122.png"/><Relationship Id="rId192" Type="http://schemas.openxmlformats.org/officeDocument/2006/relationships/image" Target="media/image121.png"/><Relationship Id="rId191" Type="http://schemas.openxmlformats.org/officeDocument/2006/relationships/image" Target="media/image120.png"/><Relationship Id="rId190" Type="http://schemas.openxmlformats.org/officeDocument/2006/relationships/image" Target="media/image119.png"/><Relationship Id="rId19" Type="http://schemas.openxmlformats.org/officeDocument/2006/relationships/oleObject" Target="embeddings/oleObject5.bin"/><Relationship Id="rId189" Type="http://schemas.openxmlformats.org/officeDocument/2006/relationships/image" Target="media/image118.png"/><Relationship Id="rId188" Type="http://schemas.openxmlformats.org/officeDocument/2006/relationships/image" Target="media/image117.png"/><Relationship Id="rId187" Type="http://schemas.openxmlformats.org/officeDocument/2006/relationships/image" Target="media/image116.emf"/><Relationship Id="rId186" Type="http://schemas.openxmlformats.org/officeDocument/2006/relationships/oleObject" Target="embeddings/oleObject65.bin"/><Relationship Id="rId185" Type="http://schemas.openxmlformats.org/officeDocument/2006/relationships/image" Target="media/image115.emf"/><Relationship Id="rId184" Type="http://schemas.openxmlformats.org/officeDocument/2006/relationships/oleObject" Target="embeddings/oleObject64.bin"/><Relationship Id="rId183" Type="http://schemas.openxmlformats.org/officeDocument/2006/relationships/image" Target="media/image114.emf"/><Relationship Id="rId182" Type="http://schemas.openxmlformats.org/officeDocument/2006/relationships/oleObject" Target="embeddings/oleObject63.bin"/><Relationship Id="rId181" Type="http://schemas.openxmlformats.org/officeDocument/2006/relationships/image" Target="media/image113.emf"/><Relationship Id="rId180" Type="http://schemas.openxmlformats.org/officeDocument/2006/relationships/oleObject" Target="embeddings/oleObject62.bin"/><Relationship Id="rId18" Type="http://schemas.openxmlformats.org/officeDocument/2006/relationships/image" Target="media/image8.emf"/><Relationship Id="rId179" Type="http://schemas.openxmlformats.org/officeDocument/2006/relationships/image" Target="media/image112.emf"/><Relationship Id="rId178" Type="http://schemas.openxmlformats.org/officeDocument/2006/relationships/oleObject" Target="embeddings/oleObject61.bin"/><Relationship Id="rId177" Type="http://schemas.openxmlformats.org/officeDocument/2006/relationships/image" Target="media/image111.png"/><Relationship Id="rId176" Type="http://schemas.openxmlformats.org/officeDocument/2006/relationships/image" Target="media/image110.png"/><Relationship Id="rId175" Type="http://schemas.openxmlformats.org/officeDocument/2006/relationships/image" Target="media/image109.png"/><Relationship Id="rId174" Type="http://schemas.openxmlformats.org/officeDocument/2006/relationships/image" Target="media/image108.png"/><Relationship Id="rId173" Type="http://schemas.openxmlformats.org/officeDocument/2006/relationships/image" Target="media/image107.png"/><Relationship Id="rId172" Type="http://schemas.openxmlformats.org/officeDocument/2006/relationships/image" Target="media/image106.png"/><Relationship Id="rId171" Type="http://schemas.openxmlformats.org/officeDocument/2006/relationships/image" Target="media/image105.png"/><Relationship Id="rId170" Type="http://schemas.openxmlformats.org/officeDocument/2006/relationships/image" Target="media/image104.emf"/><Relationship Id="rId17" Type="http://schemas.openxmlformats.org/officeDocument/2006/relationships/oleObject" Target="embeddings/oleObject4.bin"/><Relationship Id="rId169" Type="http://schemas.openxmlformats.org/officeDocument/2006/relationships/oleObject" Target="embeddings/oleObject60.bin"/><Relationship Id="rId168" Type="http://schemas.openxmlformats.org/officeDocument/2006/relationships/image" Target="media/image103.png"/><Relationship Id="rId167" Type="http://schemas.openxmlformats.org/officeDocument/2006/relationships/image" Target="media/image102.png"/><Relationship Id="rId166" Type="http://schemas.openxmlformats.org/officeDocument/2006/relationships/image" Target="media/image101.png"/><Relationship Id="rId165" Type="http://schemas.openxmlformats.org/officeDocument/2006/relationships/image" Target="media/image100.png"/><Relationship Id="rId164" Type="http://schemas.openxmlformats.org/officeDocument/2006/relationships/image" Target="media/image99.png"/><Relationship Id="rId163" Type="http://schemas.openxmlformats.org/officeDocument/2006/relationships/image" Target="media/image98.png"/><Relationship Id="rId162" Type="http://schemas.openxmlformats.org/officeDocument/2006/relationships/image" Target="media/image97.png"/><Relationship Id="rId161" Type="http://schemas.openxmlformats.org/officeDocument/2006/relationships/image" Target="media/image96.emf"/><Relationship Id="rId160" Type="http://schemas.openxmlformats.org/officeDocument/2006/relationships/oleObject" Target="embeddings/oleObject59.bin"/><Relationship Id="rId16" Type="http://schemas.openxmlformats.org/officeDocument/2006/relationships/image" Target="media/image7.emf"/><Relationship Id="rId159" Type="http://schemas.openxmlformats.org/officeDocument/2006/relationships/image" Target="media/image95.png"/><Relationship Id="rId158" Type="http://schemas.openxmlformats.org/officeDocument/2006/relationships/image" Target="media/image94.png"/><Relationship Id="rId157" Type="http://schemas.openxmlformats.org/officeDocument/2006/relationships/image" Target="media/image93.png"/><Relationship Id="rId156" Type="http://schemas.openxmlformats.org/officeDocument/2006/relationships/image" Target="media/image92.png"/><Relationship Id="rId155" Type="http://schemas.openxmlformats.org/officeDocument/2006/relationships/image" Target="media/image91.png"/><Relationship Id="rId154" Type="http://schemas.openxmlformats.org/officeDocument/2006/relationships/image" Target="media/image90.png"/><Relationship Id="rId153" Type="http://schemas.openxmlformats.org/officeDocument/2006/relationships/image" Target="media/image89.emf"/><Relationship Id="rId152" Type="http://schemas.openxmlformats.org/officeDocument/2006/relationships/oleObject" Target="embeddings/oleObject58.bin"/><Relationship Id="rId151" Type="http://schemas.openxmlformats.org/officeDocument/2006/relationships/image" Target="media/image88.emf"/><Relationship Id="rId150" Type="http://schemas.openxmlformats.org/officeDocument/2006/relationships/oleObject" Target="embeddings/oleObject57.bin"/><Relationship Id="rId15" Type="http://schemas.openxmlformats.org/officeDocument/2006/relationships/oleObject" Target="embeddings/oleObject3.bin"/><Relationship Id="rId149" Type="http://schemas.openxmlformats.org/officeDocument/2006/relationships/image" Target="media/image87.emf"/><Relationship Id="rId148" Type="http://schemas.openxmlformats.org/officeDocument/2006/relationships/oleObject" Target="embeddings/oleObject56.bin"/><Relationship Id="rId147" Type="http://schemas.openxmlformats.org/officeDocument/2006/relationships/image" Target="media/image86.png"/><Relationship Id="rId146" Type="http://schemas.openxmlformats.org/officeDocument/2006/relationships/image" Target="media/image85.png"/><Relationship Id="rId145" Type="http://schemas.openxmlformats.org/officeDocument/2006/relationships/image" Target="media/image84.png"/><Relationship Id="rId144" Type="http://schemas.openxmlformats.org/officeDocument/2006/relationships/image" Target="media/image83.png"/><Relationship Id="rId143" Type="http://schemas.openxmlformats.org/officeDocument/2006/relationships/image" Target="media/image82.png"/><Relationship Id="rId142" Type="http://schemas.openxmlformats.org/officeDocument/2006/relationships/image" Target="media/image81.png"/><Relationship Id="rId141" Type="http://schemas.openxmlformats.org/officeDocument/2006/relationships/image" Target="media/image80.png"/><Relationship Id="rId140" Type="http://schemas.openxmlformats.org/officeDocument/2006/relationships/image" Target="media/image79.png"/><Relationship Id="rId14" Type="http://schemas.openxmlformats.org/officeDocument/2006/relationships/image" Target="media/image6.emf"/><Relationship Id="rId139" Type="http://schemas.openxmlformats.org/officeDocument/2006/relationships/image" Target="media/image78.png"/><Relationship Id="rId138" Type="http://schemas.openxmlformats.org/officeDocument/2006/relationships/image" Target="media/image77.png"/><Relationship Id="rId137" Type="http://schemas.openxmlformats.org/officeDocument/2006/relationships/image" Target="media/image76.png"/><Relationship Id="rId136" Type="http://schemas.openxmlformats.org/officeDocument/2006/relationships/image" Target="media/image75.png"/><Relationship Id="rId135" Type="http://schemas.openxmlformats.org/officeDocument/2006/relationships/image" Target="media/image74.png"/><Relationship Id="rId134" Type="http://schemas.openxmlformats.org/officeDocument/2006/relationships/image" Target="media/image73.png"/><Relationship Id="rId133" Type="http://schemas.openxmlformats.org/officeDocument/2006/relationships/image" Target="media/image72.emf"/><Relationship Id="rId132" Type="http://schemas.openxmlformats.org/officeDocument/2006/relationships/oleObject" Target="embeddings/oleObject55.bin"/><Relationship Id="rId131" Type="http://schemas.openxmlformats.org/officeDocument/2006/relationships/image" Target="media/image71.emf"/><Relationship Id="rId130" Type="http://schemas.openxmlformats.org/officeDocument/2006/relationships/oleObject" Target="embeddings/oleObject54.bin"/><Relationship Id="rId13" Type="http://schemas.openxmlformats.org/officeDocument/2006/relationships/oleObject" Target="embeddings/oleObject2.bin"/><Relationship Id="rId129" Type="http://schemas.openxmlformats.org/officeDocument/2006/relationships/image" Target="media/image70.emf"/><Relationship Id="rId128" Type="http://schemas.openxmlformats.org/officeDocument/2006/relationships/oleObject" Target="embeddings/oleObject53.bin"/><Relationship Id="rId127" Type="http://schemas.openxmlformats.org/officeDocument/2006/relationships/image" Target="media/image69.emf"/><Relationship Id="rId126" Type="http://schemas.openxmlformats.org/officeDocument/2006/relationships/oleObject" Target="embeddings/oleObject52.bin"/><Relationship Id="rId125" Type="http://schemas.openxmlformats.org/officeDocument/2006/relationships/image" Target="media/image68.emf"/><Relationship Id="rId124" Type="http://schemas.openxmlformats.org/officeDocument/2006/relationships/oleObject" Target="embeddings/oleObject51.bin"/><Relationship Id="rId123" Type="http://schemas.openxmlformats.org/officeDocument/2006/relationships/image" Target="media/image67.emf"/><Relationship Id="rId122" Type="http://schemas.openxmlformats.org/officeDocument/2006/relationships/oleObject" Target="embeddings/oleObject50.bin"/><Relationship Id="rId121" Type="http://schemas.openxmlformats.org/officeDocument/2006/relationships/image" Target="media/image66.png"/><Relationship Id="rId120" Type="http://schemas.openxmlformats.org/officeDocument/2006/relationships/image" Target="media/image65.emf"/><Relationship Id="rId12" Type="http://schemas.openxmlformats.org/officeDocument/2006/relationships/image" Target="media/image5.emf"/><Relationship Id="rId119" Type="http://schemas.openxmlformats.org/officeDocument/2006/relationships/oleObject" Target="embeddings/oleObject49.bin"/><Relationship Id="rId118" Type="http://schemas.openxmlformats.org/officeDocument/2006/relationships/image" Target="media/image64.png"/><Relationship Id="rId117" Type="http://schemas.openxmlformats.org/officeDocument/2006/relationships/image" Target="media/image63.png"/><Relationship Id="rId116" Type="http://schemas.openxmlformats.org/officeDocument/2006/relationships/image" Target="media/image62.png"/><Relationship Id="rId115" Type="http://schemas.openxmlformats.org/officeDocument/2006/relationships/image" Target="media/image61.png"/><Relationship Id="rId114" Type="http://schemas.openxmlformats.org/officeDocument/2006/relationships/image" Target="media/image60.png"/><Relationship Id="rId113" Type="http://schemas.openxmlformats.org/officeDocument/2006/relationships/image" Target="media/image59.png"/><Relationship Id="rId112" Type="http://schemas.openxmlformats.org/officeDocument/2006/relationships/image" Target="media/image58.png"/><Relationship Id="rId111" Type="http://schemas.openxmlformats.org/officeDocument/2006/relationships/image" Target="media/image57.png"/><Relationship Id="rId110" Type="http://schemas.openxmlformats.org/officeDocument/2006/relationships/image" Target="media/image56.png"/><Relationship Id="rId11" Type="http://schemas.openxmlformats.org/officeDocument/2006/relationships/oleObject" Target="embeddings/oleObject1.bin"/><Relationship Id="rId109" Type="http://schemas.openxmlformats.org/officeDocument/2006/relationships/image" Target="media/image55.emf"/><Relationship Id="rId108" Type="http://schemas.openxmlformats.org/officeDocument/2006/relationships/oleObject" Target="embeddings/oleObject48.bin"/><Relationship Id="rId107" Type="http://schemas.openxmlformats.org/officeDocument/2006/relationships/image" Target="media/image54.png"/><Relationship Id="rId106" Type="http://schemas.openxmlformats.org/officeDocument/2006/relationships/image" Target="media/image53.png"/><Relationship Id="rId105" Type="http://schemas.openxmlformats.org/officeDocument/2006/relationships/image" Target="media/image52.png"/><Relationship Id="rId104" Type="http://schemas.openxmlformats.org/officeDocument/2006/relationships/image" Target="media/image51.png"/><Relationship Id="rId103" Type="http://schemas.openxmlformats.org/officeDocument/2006/relationships/image" Target="media/image50.png"/><Relationship Id="rId102" Type="http://schemas.openxmlformats.org/officeDocument/2006/relationships/image" Target="media/image49.emf"/><Relationship Id="rId101" Type="http://schemas.openxmlformats.org/officeDocument/2006/relationships/oleObject" Target="embeddings/oleObject47.bin"/><Relationship Id="rId100" Type="http://schemas.openxmlformats.org/officeDocument/2006/relationships/image" Target="media/image48.emf"/><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1F75A4-A682-47EB-A056-0F7619E3B4E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115</Pages>
  <Words>4709</Words>
  <Characters>26845</Characters>
  <Lines>223</Lines>
  <Paragraphs>62</Paragraphs>
  <TotalTime>6</TotalTime>
  <ScaleCrop>false</ScaleCrop>
  <LinksUpToDate>false</LinksUpToDate>
  <CharactersWithSpaces>31492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2018-03-11T15:19:00Z</dcterms:created>
  <dc:creator>XZQNJ</dc:creator>
  <cp:lastModifiedBy>admin</cp:lastModifiedBy>
  <cp:lastPrinted>2016-08-25T05:04:00Z</cp:lastPrinted>
  <dcterms:modified xsi:type="dcterms:W3CDTF">2020-04-14T06:08:34Z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